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E15" w:rsidRDefault="00247E15">
      <w:pPr>
        <w:spacing w:line="240" w:lineRule="auto"/>
        <w:jc w:val="center"/>
        <w:rPr>
          <w:b/>
        </w:rPr>
      </w:pPr>
      <w:bookmarkStart w:id="0" w:name="_heading=h.gjdgxs" w:colFirst="0" w:colLast="0"/>
      <w:bookmarkEnd w:id="0"/>
    </w:p>
    <w:p w:rsidR="00247E15" w:rsidRDefault="00247E15">
      <w:pPr>
        <w:spacing w:line="240" w:lineRule="auto"/>
        <w:jc w:val="center"/>
        <w:rPr>
          <w:b/>
        </w:rPr>
      </w:pPr>
    </w:p>
    <w:p w:rsidR="00247E15" w:rsidRDefault="00247E15">
      <w:pPr>
        <w:spacing w:line="240" w:lineRule="auto"/>
        <w:jc w:val="center"/>
        <w:rPr>
          <w:b/>
        </w:rPr>
      </w:pPr>
    </w:p>
    <w:p w:rsidR="00247E15" w:rsidRDefault="00247E15">
      <w:pPr>
        <w:spacing w:line="240" w:lineRule="auto"/>
        <w:jc w:val="center"/>
        <w:rPr>
          <w:b/>
        </w:rPr>
      </w:pPr>
    </w:p>
    <w:p w:rsidR="00247E15" w:rsidRDefault="00247E15">
      <w:pPr>
        <w:spacing w:line="240" w:lineRule="auto"/>
        <w:jc w:val="center"/>
        <w:rPr>
          <w:b/>
        </w:rPr>
      </w:pPr>
    </w:p>
    <w:p w:rsidR="00247E15" w:rsidRDefault="00247E15">
      <w:pPr>
        <w:spacing w:line="240" w:lineRule="auto"/>
        <w:jc w:val="center"/>
        <w:rPr>
          <w:b/>
        </w:rPr>
      </w:pPr>
    </w:p>
    <w:p w:rsidR="00247E15" w:rsidRDefault="00247E15">
      <w:pPr>
        <w:spacing w:line="240" w:lineRule="auto"/>
        <w:jc w:val="center"/>
        <w:rPr>
          <w:b/>
        </w:rPr>
      </w:pPr>
    </w:p>
    <w:p w:rsidR="00247E15" w:rsidRDefault="00E75BDE">
      <w:pPr>
        <w:spacing w:line="240" w:lineRule="auto"/>
        <w:jc w:val="center"/>
        <w:rPr>
          <w:b/>
        </w:rPr>
      </w:pPr>
      <w:r>
        <w:rPr>
          <w:b/>
        </w:rPr>
        <w:t>SAĞLIK HİZMETLERİ MESLEK YÜKSEKOKULU</w:t>
      </w:r>
    </w:p>
    <w:p w:rsidR="00247E15" w:rsidRDefault="00E75BDE">
      <w:pPr>
        <w:spacing w:line="240" w:lineRule="auto"/>
        <w:jc w:val="center"/>
        <w:rPr>
          <w:b/>
        </w:rPr>
      </w:pPr>
      <w:r>
        <w:rPr>
          <w:b/>
        </w:rPr>
        <w:t xml:space="preserve"> GERİ BİLDİRİM RAPORU</w:t>
      </w:r>
    </w:p>
    <w:p w:rsidR="00247E15" w:rsidRDefault="00247E15">
      <w:pPr>
        <w:spacing w:line="240" w:lineRule="auto"/>
        <w:jc w:val="center"/>
        <w:rPr>
          <w:b/>
        </w:rPr>
      </w:pPr>
    </w:p>
    <w:p w:rsidR="00247E15" w:rsidRDefault="00247E15">
      <w:pPr>
        <w:spacing w:line="240" w:lineRule="auto"/>
        <w:jc w:val="center"/>
        <w:rPr>
          <w:b/>
        </w:rPr>
      </w:pPr>
    </w:p>
    <w:p w:rsidR="00247E15" w:rsidRDefault="00247E15">
      <w:pPr>
        <w:spacing w:line="240" w:lineRule="auto"/>
        <w:jc w:val="center"/>
        <w:rPr>
          <w:b/>
        </w:rPr>
      </w:pPr>
    </w:p>
    <w:p w:rsidR="00247E15" w:rsidRDefault="00247E15">
      <w:pPr>
        <w:spacing w:line="240" w:lineRule="auto"/>
        <w:jc w:val="center"/>
        <w:rPr>
          <w:b/>
        </w:rPr>
      </w:pPr>
    </w:p>
    <w:p w:rsidR="00247E15" w:rsidRDefault="00247E15">
      <w:pPr>
        <w:spacing w:line="240" w:lineRule="auto"/>
        <w:jc w:val="center"/>
        <w:rPr>
          <w:b/>
        </w:rPr>
      </w:pPr>
    </w:p>
    <w:p w:rsidR="00247E15" w:rsidRDefault="00247E15">
      <w:pPr>
        <w:spacing w:line="240" w:lineRule="auto"/>
        <w:jc w:val="center"/>
        <w:rPr>
          <w:b/>
        </w:rPr>
      </w:pPr>
    </w:p>
    <w:p w:rsidR="00247E15" w:rsidRDefault="00E75BDE">
      <w:pPr>
        <w:spacing w:line="240" w:lineRule="auto"/>
        <w:jc w:val="center"/>
        <w:rPr>
          <w:b/>
        </w:rPr>
      </w:pPr>
      <w:r>
        <w:rPr>
          <w:b/>
        </w:rPr>
        <w:t>DEĞERLENDİRME TAKIMI</w:t>
      </w:r>
    </w:p>
    <w:p w:rsidR="00247E15" w:rsidRDefault="00E75BDE">
      <w:pPr>
        <w:spacing w:line="240" w:lineRule="auto"/>
        <w:jc w:val="center"/>
      </w:pPr>
      <w:r>
        <w:t>Prof. Dr. Yüksel ÖZDEMİR, Takım Başkanı</w:t>
      </w:r>
    </w:p>
    <w:p w:rsidR="00247E15" w:rsidRDefault="00E75BDE">
      <w:pPr>
        <w:spacing w:line="240" w:lineRule="auto"/>
        <w:jc w:val="center"/>
      </w:pPr>
      <w:r>
        <w:t>Dr. Öğretim Üyesi Fatma Kübra ÇEKOK, Akademik Değerlendirici</w:t>
      </w:r>
    </w:p>
    <w:p w:rsidR="00247E15" w:rsidRDefault="00E75BDE">
      <w:pPr>
        <w:spacing w:line="240" w:lineRule="auto"/>
        <w:jc w:val="center"/>
      </w:pPr>
      <w:r>
        <w:t>Arş. Gör. Ayşe Buket DOĞAN, Akademik Değerlendirici</w:t>
      </w:r>
    </w:p>
    <w:p w:rsidR="00247E15" w:rsidRDefault="00E75BDE">
      <w:pPr>
        <w:spacing w:line="240" w:lineRule="auto"/>
        <w:jc w:val="center"/>
      </w:pPr>
      <w:r>
        <w:t>Ögr. Görevlisi Özge VİLLİ, KGS Değerlendirici</w:t>
      </w:r>
    </w:p>
    <w:p w:rsidR="00247E15" w:rsidRDefault="00E75BDE">
      <w:pPr>
        <w:spacing w:line="240" w:lineRule="auto"/>
        <w:jc w:val="center"/>
      </w:pPr>
      <w:r>
        <w:t>Enst Sekreteri Nazmiye GÖKÇEL, İdari Değerlendirici</w:t>
      </w:r>
    </w:p>
    <w:p w:rsidR="00247E15" w:rsidRDefault="00E75BDE">
      <w:pPr>
        <w:spacing w:line="240" w:lineRule="auto"/>
        <w:jc w:val="center"/>
      </w:pPr>
      <w:r>
        <w:t>Zeynep ÖZMEN, Öğrenci Değerlendirici</w:t>
      </w:r>
    </w:p>
    <w:p w:rsidR="00247E15" w:rsidRDefault="00247E15">
      <w:pPr>
        <w:spacing w:line="240" w:lineRule="auto"/>
        <w:jc w:val="center"/>
        <w:rPr>
          <w:b/>
        </w:rPr>
      </w:pPr>
    </w:p>
    <w:p w:rsidR="00247E15" w:rsidRDefault="00247E15">
      <w:pPr>
        <w:spacing w:line="240" w:lineRule="auto"/>
        <w:jc w:val="center"/>
        <w:rPr>
          <w:b/>
        </w:rPr>
      </w:pPr>
    </w:p>
    <w:p w:rsidR="00247E15" w:rsidRDefault="00E75BDE">
      <w:pPr>
        <w:spacing w:line="240" w:lineRule="auto"/>
        <w:jc w:val="center"/>
        <w:rPr>
          <w:b/>
        </w:rPr>
      </w:pPr>
      <w:r>
        <w:rPr>
          <w:b/>
        </w:rPr>
        <w:t>15/03/2022</w:t>
      </w:r>
    </w:p>
    <w:p w:rsidR="00247E15" w:rsidRDefault="00247E15">
      <w:pPr>
        <w:rPr>
          <w:b/>
        </w:rPr>
      </w:pPr>
    </w:p>
    <w:p w:rsidR="00247E15" w:rsidRDefault="00E75BDE">
      <w:pPr>
        <w:rPr>
          <w:b/>
        </w:rPr>
      </w:pPr>
      <w:r>
        <w:rPr>
          <w:b/>
        </w:rPr>
        <w:lastRenderedPageBreak/>
        <w:t xml:space="preserve">GENEL BİLGİLER </w:t>
      </w:r>
    </w:p>
    <w:p w:rsidR="00247E15" w:rsidRDefault="00E75BDE">
      <w:pPr>
        <w:pBdr>
          <w:top w:val="nil"/>
          <w:left w:val="nil"/>
          <w:bottom w:val="nil"/>
          <w:right w:val="nil"/>
          <w:between w:val="nil"/>
        </w:pBdr>
        <w:spacing w:before="166"/>
        <w:ind w:right="109"/>
        <w:rPr>
          <w:color w:val="000000"/>
        </w:rPr>
      </w:pPr>
      <w:r>
        <w:rPr>
          <w:color w:val="000000"/>
        </w:rPr>
        <w:t>Sağlık Hizmetleri Meslek Yüksek Okulu, Yükseköğretim Kurulu Başkanlığı Eğitim-Öğretim Daire Başkanlığının 25/03/2021 tarih ve E-75850160-101.02.05-23003 sayılı Kararı ile 2547 Sayılı Kanun’ un 2880 Sayılı Kanun’ la değişik 7/d-2 maddesi uyarınca alınan kar</w:t>
      </w:r>
      <w:r>
        <w:rPr>
          <w:color w:val="000000"/>
        </w:rPr>
        <w:t>arla 2021 tarihinde kurulmuştur.  Yüksekokula bağlı olarak; Tıbbi Hizmetler ve Teknikler Bölümü altında, Ameliyathane Hizmetleri, Anestezi, Diyaliz, İlk ve Acil Yardım, Optisyenlik, Tıbbi Görüntüleme Teknikleri ve Tıbbi Laboratuvar Teknikleri, Elektronik v</w:t>
      </w:r>
      <w:r>
        <w:rPr>
          <w:color w:val="000000"/>
        </w:rPr>
        <w:t xml:space="preserve">e Otomasyon Bölümü altında Biyomedikal Cihaz Teknolojisi, Çocuk Bakımı ve Gençlik Hizmetleri Bölümü altında Çocuk Gelişimi, Dişçilik Hizmetleri Bölümü altında Ağız ve Diş Sağlığı, Terapi ve Rehabilitasyon Bölümü altında Fizyoterapi programı bulunmaktadır. </w:t>
      </w:r>
      <w:r>
        <w:rPr>
          <w:color w:val="000000"/>
        </w:rPr>
        <w:t xml:space="preserve">2021- 2022 eğitim–öğretim yılında 31 kadrolu  ve ders ücretli 21 akademik personel olmak üzere toplam 52 akademik personel ile eğitim-öğretim hizmetleri vermektedir. </w:t>
      </w:r>
    </w:p>
    <w:p w:rsidR="00247E15" w:rsidRDefault="00247E15">
      <w:pPr>
        <w:rPr>
          <w:b/>
        </w:rPr>
      </w:pPr>
    </w:p>
    <w:p w:rsidR="00247E15" w:rsidRDefault="00E75BDE">
      <w:r>
        <w:rPr>
          <w:b/>
        </w:rPr>
        <w:t>A. KALİTE GÜVENCESİ SİSTEMİ</w:t>
      </w:r>
      <w:r>
        <w:t xml:space="preserve"> </w:t>
      </w:r>
    </w:p>
    <w:p w:rsidR="00247E15" w:rsidRDefault="00E75BDE">
      <w:pPr>
        <w:rPr>
          <w:b/>
        </w:rPr>
      </w:pPr>
      <w:r>
        <w:rPr>
          <w:b/>
        </w:rPr>
        <w:t xml:space="preserve">1. </w:t>
      </w:r>
      <w:r>
        <w:t>Yüksekokulun 2021 de kurulması nedeniyle ilk kez</w:t>
      </w:r>
      <w:r>
        <w:rPr>
          <w:b/>
        </w:rPr>
        <w:t xml:space="preserve"> </w:t>
      </w:r>
      <w:r>
        <w:t>2022-20</w:t>
      </w:r>
      <w:r>
        <w:t>26 yıllarını kapsayan stratejik planı (SP) yapılmış ve web sitesinde paydaşlara duyurulmuştur. Yüksekokulun misyon ve vizyon ifadeleri üniversitenin misyon ve vizyonuna uygun olarak olarak belirlenmiştir. Ayrıca, bu misyon ve vizyonu yerine getirmek için h</w:t>
      </w:r>
      <w:r>
        <w:t>edefler veya göstergeler belirlenmiştir.  Bu ilkeler doğrultusunda SP’de Kalite Güvence Sistemi, Eğitim-Öğretim, Ar-Ge ve Toplumsal Katkı amaçlarına yönelik hedefler ve performans göstergeleri yıllara göre artan düzeyde saptanmıştır. SP, 2022 yılında geçme</w:t>
      </w:r>
      <w:r>
        <w:t>si nedeniyle herhangi bir izleme ve değerlendirme yapılamamıştır. Bununla birlikte stratejik planın yıllara göre izlenme ve değerlendirmesine yönelik yapılacak çalışmalar detaylı olarak açıklanması güçlü yön olarak değerlendirilmektedir.</w:t>
      </w:r>
    </w:p>
    <w:p w:rsidR="00247E15" w:rsidRDefault="00E75BDE">
      <w:r>
        <w:rPr>
          <w:b/>
          <w:color w:val="000000"/>
        </w:rPr>
        <w:t>2</w:t>
      </w:r>
      <w:r>
        <w:rPr>
          <w:color w:val="000000"/>
        </w:rPr>
        <w:t xml:space="preserve">. </w:t>
      </w:r>
      <w:r>
        <w:t>Yüksekokulun, S</w:t>
      </w:r>
      <w:r>
        <w:t>P çerçevesinde Kalite Politikası “</w:t>
      </w:r>
      <w:r>
        <w:rPr>
          <w:i/>
          <w:color w:val="000000"/>
        </w:rPr>
        <w:t>Toros Üniversitesi Sağlık Hizmetleri Meslek Yüksekokulu olarak kalite politikamız; öğrencilerimizi teori ve pratikte yeterli, evrensel standartlarda donanımlı meslek elemanları ve teknikerler olarak iş piyasasına kazandırm</w:t>
      </w:r>
      <w:r>
        <w:rPr>
          <w:i/>
          <w:color w:val="000000"/>
        </w:rPr>
        <w:t>aktır</w:t>
      </w:r>
      <w:r>
        <w:rPr>
          <w:color w:val="000000"/>
        </w:rPr>
        <w:t xml:space="preserve">” şeklinde belirtilmiştir. Politika kapsamında hedefler belirlenmiş olmakla birlikte; </w:t>
      </w:r>
      <w:r>
        <w:t xml:space="preserve">Yüksekokulun misyonu ve vizyonu çerçevesinde amaçlarına ulaşmak için yapılacak faaliyetleri veya sunulan hizmetlerin </w:t>
      </w:r>
      <w:r>
        <w:rPr>
          <w:color w:val="000000"/>
        </w:rPr>
        <w:t>sürekliliğini sağlamak gibi unsurları içeren, pa</w:t>
      </w:r>
      <w:r>
        <w:rPr>
          <w:color w:val="000000"/>
        </w:rPr>
        <w:t xml:space="preserve">ydaşlar tarafından </w:t>
      </w:r>
      <w:r>
        <w:t xml:space="preserve">içselleştirilebilen ifadeleri içerecek şekilde yeniden düzenlenmesi (aynı ifadeler birkaç yerde sıklıkla geçmektedir) ve  Yüksekokulun web sitesinde de duyurulmasında yarar görülmektedir.   </w:t>
      </w:r>
    </w:p>
    <w:p w:rsidR="00247E15" w:rsidRDefault="00E75BDE">
      <w:r>
        <w:rPr>
          <w:b/>
        </w:rPr>
        <w:t>3.</w:t>
      </w:r>
      <w:r>
        <w:t xml:space="preserve"> Yüksekokulun  bünyesinde Kalite Güvence Sis</w:t>
      </w:r>
      <w:r>
        <w:t>teminin oluşturulmasına yönelik Kalite Komisyonu ve Alt Komisyon oluşturulmuş ve paydaşlara duyurulmuştur. Komisyonda akademik personeller ile birlikte idari personel ve öğrenci temsilcisine yer verilmesi ayrıca, Komisyonun çalışma usul ve esaslarının beli</w:t>
      </w:r>
      <w:r>
        <w:t>rlenmiş olması ve paydaşlara duyurulması güçlü yön olarak değerlendirilmiştir. Birimde Paydaş Katılımını sağlamak için bazı faaliyetlerin (dilek, şikayet ve öneri kutuları , ders değerlendirme ve öğretim elemanı değerlendirme anketi) yapıldığı ifade edilme</w:t>
      </w:r>
      <w:r>
        <w:t>kle birlikte faaliyetlerin değerlendirilmesi ve önlemler alındığına yönelik bulguları içeren kanıtlara kısıtlı olarak rastlanılmamıştır. Kalite komisyon kararları ile değerlendirme ve önlem alma işlemlerini yerine getirmesi ve PUKÖ döngüsünün tamamlanmasın</w:t>
      </w:r>
      <w:r>
        <w:t>a katkı sağlayacaktır.</w:t>
      </w:r>
    </w:p>
    <w:p w:rsidR="00247E15" w:rsidRDefault="00E75BDE">
      <w:r>
        <w:rPr>
          <w:b/>
        </w:rPr>
        <w:t>4.</w:t>
      </w:r>
      <w:r>
        <w:t xml:space="preserve"> Yüksekokulda, uluslararasılaşma politikası kapsamında değişim programları, uluslararası öğrenci, yabancı uyruklu akademik personel, uluslararası araştırmacı, uluslararası ağlar ve organizasyonlar, müfredatın uluslararası yaklaşıml</w:t>
      </w:r>
      <w:r>
        <w:t>arla uyumu, ortak diploma programları konularında 2022-2026 yıllarına ait stratejik planda bir amaç olarak belirtildiği ifade edilmiştir. Ancak Uluslararasılaşma konusunda amaçlanan hedefleri içeren ifadelerin yer aldığı bir politika veya stratejilerin bel</w:t>
      </w:r>
      <w:r>
        <w:t>irlenmesi ve paydaşlara duyurulmasında yarar bulunmaktadır.  Diğer taraftan 2021 yılı içerisinde bu kapsamda bazı bulgular verilmekle birlikte sonuçların değerlendirilmesi ve önlem alınmasına yönelik eylem planlarının hazırlanmasında yarar olduğu değerlend</w:t>
      </w:r>
      <w:r>
        <w:t xml:space="preserve">irilmektedir. </w:t>
      </w:r>
    </w:p>
    <w:p w:rsidR="00247E15" w:rsidRDefault="00E75BDE">
      <w:r>
        <w:rPr>
          <w:b/>
        </w:rPr>
        <w:t>A.1 Gelişmeye açık yanlar</w:t>
      </w:r>
      <w:r>
        <w:t xml:space="preserve"> (BİDR raporunda ve saha ziyaretinde elde edilen bulgular çerçevesinde gelişmeye açık yanlar veya varsa takımın önerileri belirtilir)</w:t>
      </w:r>
    </w:p>
    <w:tbl>
      <w:tblPr>
        <w:tblStyle w:val="a"/>
        <w:tblW w:w="9431" w:type="dxa"/>
        <w:tblInd w:w="0" w:type="dxa"/>
        <w:tblBorders>
          <w:top w:val="single" w:sz="8" w:space="0" w:color="4A66AC"/>
          <w:left w:val="single" w:sz="8" w:space="0" w:color="4A66AC"/>
          <w:bottom w:val="single" w:sz="8" w:space="0" w:color="4A66AC"/>
          <w:right w:val="single" w:sz="8" w:space="0" w:color="4A66AC"/>
          <w:insideH w:val="single" w:sz="8" w:space="0" w:color="83B9C2"/>
          <w:insideV w:val="single" w:sz="4" w:space="0" w:color="000000"/>
        </w:tblBorders>
        <w:tblLayout w:type="fixed"/>
        <w:tblLook w:val="0400" w:firstRow="0" w:lastRow="0" w:firstColumn="0" w:lastColumn="0" w:noHBand="0" w:noVBand="1"/>
      </w:tblPr>
      <w:tblGrid>
        <w:gridCol w:w="562"/>
        <w:gridCol w:w="4820"/>
        <w:gridCol w:w="4049"/>
      </w:tblGrid>
      <w:tr w:rsidR="00247E15">
        <w:tc>
          <w:tcPr>
            <w:tcW w:w="562" w:type="dxa"/>
          </w:tcPr>
          <w:p w:rsidR="00247E15" w:rsidRDefault="00247E15">
            <w:pPr>
              <w:spacing w:line="276" w:lineRule="auto"/>
              <w:rPr>
                <w:b/>
              </w:rPr>
            </w:pPr>
          </w:p>
        </w:tc>
        <w:tc>
          <w:tcPr>
            <w:tcW w:w="4820" w:type="dxa"/>
          </w:tcPr>
          <w:p w:rsidR="00247E15" w:rsidRDefault="00E75BDE">
            <w:pPr>
              <w:spacing w:line="276" w:lineRule="auto"/>
              <w:rPr>
                <w:b/>
              </w:rPr>
            </w:pPr>
            <w:r>
              <w:rPr>
                <w:b/>
              </w:rPr>
              <w:t>Gelişmeye Açık Yanlar</w:t>
            </w:r>
          </w:p>
        </w:tc>
        <w:tc>
          <w:tcPr>
            <w:tcW w:w="4049" w:type="dxa"/>
          </w:tcPr>
          <w:p w:rsidR="00247E15" w:rsidRDefault="00E75BDE">
            <w:pPr>
              <w:spacing w:line="276" w:lineRule="auto"/>
              <w:rPr>
                <w:b/>
              </w:rPr>
            </w:pPr>
            <w:r>
              <w:rPr>
                <w:b/>
              </w:rPr>
              <w:t xml:space="preserve">Öneri </w:t>
            </w:r>
          </w:p>
        </w:tc>
      </w:tr>
      <w:tr w:rsidR="00247E15">
        <w:tc>
          <w:tcPr>
            <w:tcW w:w="562" w:type="dxa"/>
          </w:tcPr>
          <w:p w:rsidR="00247E15" w:rsidRDefault="00E75BDE">
            <w:pPr>
              <w:spacing w:line="276" w:lineRule="auto"/>
              <w:rPr>
                <w:b/>
              </w:rPr>
            </w:pPr>
            <w:r>
              <w:rPr>
                <w:b/>
              </w:rPr>
              <w:t>1</w:t>
            </w:r>
          </w:p>
        </w:tc>
        <w:tc>
          <w:tcPr>
            <w:tcW w:w="4820" w:type="dxa"/>
          </w:tcPr>
          <w:p w:rsidR="00247E15" w:rsidRDefault="00E75BDE">
            <w:pPr>
              <w:spacing w:line="276" w:lineRule="auto"/>
            </w:pPr>
            <w:r>
              <w:t>Yüksekokulun kalite politikasını belirten  amaçla</w:t>
            </w:r>
            <w:r>
              <w:t>rın uygun şekilde ifade edilmesi ve paydaşlara duyurulması</w:t>
            </w:r>
          </w:p>
        </w:tc>
        <w:tc>
          <w:tcPr>
            <w:tcW w:w="4049" w:type="dxa"/>
          </w:tcPr>
          <w:p w:rsidR="00247E15" w:rsidRDefault="00247E15">
            <w:pPr>
              <w:spacing w:line="276" w:lineRule="auto"/>
              <w:rPr>
                <w:b/>
              </w:rPr>
            </w:pPr>
          </w:p>
        </w:tc>
      </w:tr>
      <w:tr w:rsidR="00247E15">
        <w:tc>
          <w:tcPr>
            <w:tcW w:w="562" w:type="dxa"/>
          </w:tcPr>
          <w:p w:rsidR="00247E15" w:rsidRDefault="00E75BDE">
            <w:pPr>
              <w:spacing w:line="276" w:lineRule="auto"/>
              <w:rPr>
                <w:b/>
              </w:rPr>
            </w:pPr>
            <w:r>
              <w:rPr>
                <w:b/>
              </w:rPr>
              <w:t>2</w:t>
            </w:r>
          </w:p>
        </w:tc>
        <w:tc>
          <w:tcPr>
            <w:tcW w:w="4820" w:type="dxa"/>
          </w:tcPr>
          <w:p w:rsidR="00247E15" w:rsidRDefault="00E75BDE">
            <w:pPr>
              <w:spacing w:after="200" w:line="276" w:lineRule="auto"/>
              <w:rPr>
                <w:b/>
              </w:rPr>
            </w:pPr>
            <w:r>
              <w:t>Kalite odaklı çalışmalara paydaş katılımını sağlamak amacıyla yapılan faaliyetlerin nasıl değerlendirildiği ve önlemler alındığına yönelik kısıtlı kanıtların bulunması</w:t>
            </w:r>
          </w:p>
        </w:tc>
        <w:tc>
          <w:tcPr>
            <w:tcW w:w="4049" w:type="dxa"/>
          </w:tcPr>
          <w:p w:rsidR="00247E15" w:rsidRDefault="00247E15">
            <w:pPr>
              <w:spacing w:line="276" w:lineRule="auto"/>
              <w:rPr>
                <w:b/>
              </w:rPr>
            </w:pPr>
          </w:p>
        </w:tc>
      </w:tr>
      <w:tr w:rsidR="00247E15">
        <w:tc>
          <w:tcPr>
            <w:tcW w:w="562" w:type="dxa"/>
          </w:tcPr>
          <w:p w:rsidR="00247E15" w:rsidRDefault="00E75BDE">
            <w:pPr>
              <w:spacing w:line="276" w:lineRule="auto"/>
              <w:rPr>
                <w:b/>
              </w:rPr>
            </w:pPr>
            <w:r>
              <w:rPr>
                <w:b/>
              </w:rPr>
              <w:t>3</w:t>
            </w:r>
          </w:p>
        </w:tc>
        <w:tc>
          <w:tcPr>
            <w:tcW w:w="4820" w:type="dxa"/>
          </w:tcPr>
          <w:p w:rsidR="00247E15" w:rsidRDefault="00E75BDE">
            <w:pPr>
              <w:spacing w:line="276" w:lineRule="auto"/>
              <w:rPr>
                <w:b/>
              </w:rPr>
            </w:pPr>
            <w:r>
              <w:t>Stratejik planda uluslararasılaştırmaya yönelik performans göstergelerinin planlanmakla birlikte ayrıca Uluslararasılaşma Politikası’nın, belirlenmesi ve paydaşlara duyurulmaması</w:t>
            </w:r>
          </w:p>
        </w:tc>
        <w:tc>
          <w:tcPr>
            <w:tcW w:w="4049" w:type="dxa"/>
          </w:tcPr>
          <w:p w:rsidR="00247E15" w:rsidRDefault="00247E15">
            <w:pPr>
              <w:spacing w:line="276" w:lineRule="auto"/>
              <w:rPr>
                <w:b/>
              </w:rPr>
            </w:pPr>
          </w:p>
        </w:tc>
      </w:tr>
      <w:tr w:rsidR="00247E15">
        <w:tc>
          <w:tcPr>
            <w:tcW w:w="562" w:type="dxa"/>
          </w:tcPr>
          <w:p w:rsidR="00247E15" w:rsidRDefault="00E75BDE">
            <w:pPr>
              <w:spacing w:line="276" w:lineRule="auto"/>
              <w:rPr>
                <w:b/>
              </w:rPr>
            </w:pPr>
            <w:r>
              <w:rPr>
                <w:b/>
              </w:rPr>
              <w:t>4</w:t>
            </w:r>
          </w:p>
        </w:tc>
        <w:tc>
          <w:tcPr>
            <w:tcW w:w="4820" w:type="dxa"/>
          </w:tcPr>
          <w:p w:rsidR="00247E15" w:rsidRDefault="00E75BDE">
            <w:pPr>
              <w:spacing w:line="276" w:lineRule="auto"/>
              <w:rPr>
                <w:b/>
              </w:rPr>
            </w:pPr>
            <w:r>
              <w:t>uluslararasılaştırma kapsamda bazı bulgular verilmekle birlikte sonuçları</w:t>
            </w:r>
            <w:r>
              <w:t>n değerlendirilmesi ve önlem alınmasına yönelik eylem planlarının yapılarak çevrimin kapatılmaması</w:t>
            </w:r>
          </w:p>
        </w:tc>
        <w:tc>
          <w:tcPr>
            <w:tcW w:w="4049" w:type="dxa"/>
          </w:tcPr>
          <w:p w:rsidR="00247E15" w:rsidRDefault="00247E15">
            <w:pPr>
              <w:spacing w:line="276" w:lineRule="auto"/>
              <w:rPr>
                <w:b/>
              </w:rPr>
            </w:pPr>
          </w:p>
        </w:tc>
      </w:tr>
    </w:tbl>
    <w:p w:rsidR="00247E15" w:rsidRDefault="00247E15">
      <w:pPr>
        <w:rPr>
          <w:b/>
        </w:rPr>
      </w:pPr>
    </w:p>
    <w:p w:rsidR="00247E15" w:rsidRDefault="00E75BDE">
      <w:r>
        <w:rPr>
          <w:b/>
        </w:rPr>
        <w:t>B. EĞİTİM-ÖĞRETİM</w:t>
      </w:r>
      <w:r>
        <w:t xml:space="preserve">  </w:t>
      </w:r>
    </w:p>
    <w:p w:rsidR="00247E15" w:rsidRDefault="00E75BDE">
      <w:r>
        <w:t>1. Yüksekokul bünyesinde mevcut bölüm/programların tasarım ve onayı için dış paydaş toplantılarında sektör temsilcilerinin görüşleri alındığı, program tasarım sürecinde doluluk oranları, fiziksel alt yapı, öğrencilerin staj olanakları ve öğretim elemanları</w:t>
      </w:r>
      <w:r>
        <w:t>nın uzmanlık alanları göz önünde bulundurularak müfredat tasarımın yapıldığı belirtilmektedir. Ancak, müfredat tasarımında programdaki derslerin TYÇÇ ve Program Çıktıları (PÇ) ile nasıl ilişkilendirildiğine dair matriks ile ilgili herhangi bir bulguya rast</w:t>
      </w:r>
      <w:r>
        <w:t xml:space="preserve">lanmamıştır. Bununla birlikte, Bologna Bilgi Paketinde (BBP) dersler bazında öğrenme çıktıları ve PÇ ilişkileri web sitesinde paydaşlara duyurulduğu yapılan incelemede anlaşılmıştır. </w:t>
      </w:r>
    </w:p>
    <w:p w:rsidR="00247E15" w:rsidRDefault="00E75BDE">
      <w:pPr>
        <w:spacing w:after="0"/>
        <w:rPr>
          <w:b/>
        </w:rPr>
      </w:pPr>
      <w:r>
        <w:rPr>
          <w:b/>
        </w:rPr>
        <w:t xml:space="preserve">2. </w:t>
      </w:r>
      <w:r>
        <w:rPr>
          <w:rFonts w:ascii="Times New Roman" w:eastAsia="Times New Roman" w:hAnsi="Times New Roman" w:cs="Times New Roman"/>
        </w:rPr>
        <w:t>Programın ders dağılımına ilişkin ilk</w:t>
      </w:r>
      <w:r>
        <w:t>e, kural ve yöntemler tanımlı ol</w:t>
      </w:r>
      <w:r>
        <w:t>duğu belirtilmek ile birlikte herhangi bir kanıta rastlanılmamıştır</w:t>
      </w:r>
      <w:r>
        <w:rPr>
          <w:rFonts w:ascii="Times New Roman" w:eastAsia="Times New Roman" w:hAnsi="Times New Roman" w:cs="Times New Roman"/>
        </w:rPr>
        <w:t>.</w:t>
      </w:r>
      <w:r>
        <w:t xml:space="preserve"> Yüksekokul bazında z</w:t>
      </w:r>
      <w:r>
        <w:rPr>
          <w:rFonts w:ascii="Times New Roman" w:eastAsia="Times New Roman" w:hAnsi="Times New Roman" w:cs="Times New Roman"/>
        </w:rPr>
        <w:t>orunlu derslerin seçmeli derslere oranı % 8 olup, ortak ders havuzu oluşturularak önümüzdeki yıl öğrencilerin seçebileceği şekilde Bahar dönemi</w:t>
      </w:r>
      <w:r>
        <w:t>ne yerleştirildiği, p</w:t>
      </w:r>
      <w:r>
        <w:rPr>
          <w:rFonts w:ascii="Times New Roman" w:eastAsia="Times New Roman" w:hAnsi="Times New Roman" w:cs="Times New Roman"/>
        </w:rPr>
        <w:t>rog</w:t>
      </w:r>
      <w:r>
        <w:rPr>
          <w:rFonts w:ascii="Times New Roman" w:eastAsia="Times New Roman" w:hAnsi="Times New Roman" w:cs="Times New Roman"/>
        </w:rPr>
        <w:t>ramlarda 1 dönemlik mesleki uygulama eğitiminin dışında uygulamalı derslerin teorik derslere oranı yak</w:t>
      </w:r>
      <w:r>
        <w:t>laşık %25 olarak belirtilmiş olmakla birlikte programlar bazında oluşturulan ö</w:t>
      </w:r>
      <w:r>
        <w:rPr>
          <w:rFonts w:ascii="Times New Roman" w:eastAsia="Times New Roman" w:hAnsi="Times New Roman" w:cs="Times New Roman"/>
        </w:rPr>
        <w:t>ğretim programı (müfredat) yapısı</w:t>
      </w:r>
      <w:r>
        <w:t>nda</w:t>
      </w:r>
      <w:r>
        <w:rPr>
          <w:rFonts w:ascii="Times New Roman" w:eastAsia="Times New Roman" w:hAnsi="Times New Roman" w:cs="Times New Roman"/>
        </w:rPr>
        <w:t xml:space="preserve"> zorunlu-seçmeli ders, </w:t>
      </w:r>
      <w:r>
        <w:t>dengesini gözetil</w:t>
      </w:r>
      <w:r>
        <w:t>diği</w:t>
      </w:r>
      <w:r>
        <w:rPr>
          <w:rFonts w:ascii="Times New Roman" w:eastAsia="Times New Roman" w:hAnsi="Times New Roman" w:cs="Times New Roman"/>
        </w:rPr>
        <w:t>, kültürel derinlik ve farklı disipl</w:t>
      </w:r>
      <w:r>
        <w:t xml:space="preserve">inleri tanıma imkânı verildiği belirtilmekle birlikte her program düzeyinde dağılımı belirten bulgulara rastlanılmaktadır. </w:t>
      </w:r>
    </w:p>
    <w:p w:rsidR="00247E15" w:rsidRDefault="00E75BDE">
      <w:pPr>
        <w:spacing w:before="240" w:after="240"/>
        <w:rPr>
          <w:rFonts w:ascii="Times New Roman" w:eastAsia="Times New Roman" w:hAnsi="Times New Roman" w:cs="Times New Roman"/>
        </w:rPr>
      </w:pPr>
      <w:r>
        <w:rPr>
          <w:rFonts w:ascii="Times New Roman" w:eastAsia="Times New Roman" w:hAnsi="Times New Roman" w:cs="Times New Roman"/>
        </w:rPr>
        <w:t>3. Birimde program genelinde öğrencinin derslere aktif katılımını sağlayacak  interaktif yön</w:t>
      </w:r>
      <w:r>
        <w:rPr>
          <w:rFonts w:ascii="Times New Roman" w:eastAsia="Times New Roman" w:hAnsi="Times New Roman" w:cs="Times New Roman"/>
        </w:rPr>
        <w:t>temler ile ders işlenmesi, öğrenim düzeylerinin artırılması amacıyla uygulamalar gerçekleştirildiği ifade edilmiştir bu güçlü bir yön olarak değerlendirilmekle birlikte bu uygulamalardan öğrenim çıktılarına ulaşılıp ulaşılmadığına dair bir izleme ve değerl</w:t>
      </w:r>
      <w:r>
        <w:rPr>
          <w:rFonts w:ascii="Times New Roman" w:eastAsia="Times New Roman" w:hAnsi="Times New Roman" w:cs="Times New Roman"/>
        </w:rPr>
        <w:t xml:space="preserve">endirmelere ilişkin kanıtlara rastlanmamıştır. Öğrencilerden ve öğretim elemanlarından alınacak  geri bildirimi doğrultusunda güncellemellerin yapılmasında yarar olduğu değerlendirilmektedir. </w:t>
      </w:r>
    </w:p>
    <w:p w:rsidR="00247E15" w:rsidRDefault="00E75BDE">
      <w:pPr>
        <w:spacing w:before="240" w:after="240"/>
        <w:rPr>
          <w:rFonts w:ascii="Times New Roman" w:eastAsia="Times New Roman" w:hAnsi="Times New Roman" w:cs="Times New Roman"/>
        </w:rPr>
      </w:pPr>
      <w:r>
        <w:rPr>
          <w:rFonts w:ascii="Times New Roman" w:eastAsia="Times New Roman" w:hAnsi="Times New Roman" w:cs="Times New Roman"/>
        </w:rPr>
        <w:t>4.  Öğrenci geri bildirimleri konusunda bazı uygulamaların yapı</w:t>
      </w:r>
      <w:r>
        <w:rPr>
          <w:rFonts w:ascii="Times New Roman" w:eastAsia="Times New Roman" w:hAnsi="Times New Roman" w:cs="Times New Roman"/>
        </w:rPr>
        <w:t>ldığı belirtilmekle birlikte elde edilen sonuçların iyileştirmeye katkıları konusunda herhangi bir bulguya rastlanmamıştır. öğrenciden geri bildirim alınmasına rağmen kanıtlara ulaşılamamıştır.</w:t>
      </w:r>
    </w:p>
    <w:p w:rsidR="00247E15" w:rsidRDefault="00E75BDE">
      <w:pPr>
        <w:spacing w:before="240" w:after="240"/>
        <w:rPr>
          <w:rFonts w:ascii="Times New Roman" w:eastAsia="Times New Roman" w:hAnsi="Times New Roman" w:cs="Times New Roman"/>
        </w:rPr>
      </w:pPr>
      <w:r>
        <w:rPr>
          <w:rFonts w:ascii="Times New Roman" w:eastAsia="Times New Roman" w:hAnsi="Times New Roman" w:cs="Times New Roman"/>
        </w:rPr>
        <w:t>5. Uzaktan eğitim yöntemi ile verilmesi planlanan derslere yön</w:t>
      </w:r>
      <w:r>
        <w:rPr>
          <w:rFonts w:ascii="Times New Roman" w:eastAsia="Times New Roman" w:hAnsi="Times New Roman" w:cs="Times New Roman"/>
        </w:rPr>
        <w:t>elik, dersin izleme şekli ve dönem boyunca yapılacak ölçme yöntemlerine ilişkin ders izlencelerinin paydaşlara duyurulması güçlü bir yön olarak değerlendirilmektedir. Ancak bu uygulamanın izlenmesi ve değerlendirilmesine yönelik bilgilere ulaşılamamıştır.</w:t>
      </w:r>
    </w:p>
    <w:p w:rsidR="00247E15" w:rsidRDefault="00E75BDE">
      <w:pPr>
        <w:spacing w:before="240" w:after="240"/>
        <w:rPr>
          <w:rFonts w:ascii="Times New Roman" w:eastAsia="Times New Roman" w:hAnsi="Times New Roman" w:cs="Times New Roman"/>
        </w:rPr>
      </w:pPr>
      <w:r>
        <w:rPr>
          <w:rFonts w:ascii="Times New Roman" w:eastAsia="Times New Roman" w:hAnsi="Times New Roman" w:cs="Times New Roman"/>
        </w:rPr>
        <w:t>6. Öğrencinin akademik gelişimini takip eden, yön gösteren, akademik sorunlarına ve kariyer planlamasına destek olan bir danışman öğretim üyesi bulunması; etkinliğin öğrenci portfolyosu gibi yöntemlerle takibi ve iyileştirme adımları olması, ö</w:t>
      </w:r>
      <w:r>
        <w:rPr>
          <w:rFonts w:ascii="Times New Roman" w:eastAsia="Times New Roman" w:hAnsi="Times New Roman" w:cs="Times New Roman"/>
        </w:rPr>
        <w:t>ğrencilerin danışmanlarına erişiminin kolay ve çeşitli olması güçlü bir yön olarak değerlendirilmektedir. Ancak, öğrencilerin akademik danışmanları ile nasıl iletişim kuracağı hangi kaynaklardan iletildiği ve bu uygulamaların nasıl izlendiği ve değerle</w:t>
      </w:r>
      <w:r>
        <w:rPr>
          <w:rFonts w:ascii="Times New Roman" w:eastAsia="Times New Roman" w:hAnsi="Times New Roman" w:cs="Times New Roman"/>
        </w:rPr>
        <w:t>ndirildiği belirtilmemiştir bu yöntemlerin standart bir hale getirilmesinin daha iyi olacağı düşünülmektedir. Ayrıca akademik danışmanlık raporları ile ilgili bir kanıta rastlanmadığı, elde edilen sonuçları iyileştirmeye katkıları konusunda herhangi bir bu</w:t>
      </w:r>
      <w:r>
        <w:rPr>
          <w:rFonts w:ascii="Times New Roman" w:eastAsia="Times New Roman" w:hAnsi="Times New Roman" w:cs="Times New Roman"/>
        </w:rPr>
        <w:t>lguya rastlanılmamıştır.</w:t>
      </w:r>
    </w:p>
    <w:p w:rsidR="00247E15" w:rsidRDefault="00E75BDE">
      <w:pPr>
        <w:spacing w:before="240" w:after="240"/>
        <w:rPr>
          <w:rFonts w:ascii="Times New Roman" w:eastAsia="Times New Roman" w:hAnsi="Times New Roman" w:cs="Times New Roman"/>
        </w:rPr>
      </w:pPr>
      <w:r>
        <w:rPr>
          <w:rFonts w:ascii="Times New Roman" w:eastAsia="Times New Roman" w:hAnsi="Times New Roman" w:cs="Times New Roman"/>
        </w:rPr>
        <w:t xml:space="preserve">7. Öğrenci odaklı öğrenim kapsamında; öğretim elemanı başına düşen öğrenci sayısı, öğrenci başına düşen eğitim-öğretim alanı, öğrenme kaynakları gibi değerlendirmelere ilişkin bilgiye ulaşılamamıştır.  </w:t>
      </w:r>
    </w:p>
    <w:p w:rsidR="00247E15" w:rsidRDefault="00E75BDE">
      <w:pPr>
        <w:spacing w:before="240" w:after="240"/>
        <w:rPr>
          <w:rFonts w:ascii="Times New Roman" w:eastAsia="Times New Roman" w:hAnsi="Times New Roman" w:cs="Times New Roman"/>
        </w:rPr>
      </w:pPr>
      <w:r>
        <w:rPr>
          <w:rFonts w:ascii="Times New Roman" w:eastAsia="Times New Roman" w:hAnsi="Times New Roman" w:cs="Times New Roman"/>
        </w:rPr>
        <w:t>8. Eğitim-öğretim kadrosunun</w:t>
      </w:r>
      <w:r>
        <w:rPr>
          <w:rFonts w:ascii="Times New Roman" w:eastAsia="Times New Roman" w:hAnsi="Times New Roman" w:cs="Times New Roman"/>
        </w:rPr>
        <w:t xml:space="preserve"> mesleki gelişimlerini sürdürmek ve öğretim becerilerini iyileştirmek için; Eğiticilerin Eğitimi Programı üniversitemiz kalite koordinatörlüğü bünyesinde uygulanması güçlü bir yön olarak değerlendirilmekle birlikte yüksekokulun bünyelerindeki programlarda </w:t>
      </w:r>
      <w:r>
        <w:rPr>
          <w:rFonts w:ascii="Times New Roman" w:eastAsia="Times New Roman" w:hAnsi="Times New Roman" w:cs="Times New Roman"/>
        </w:rPr>
        <w:t>başta mesleki eğitim, atölye çalışması gibi etkinliklerin oluşturulmasında ve genel olarak eğiticilerin eğitimi alan öğretim elemanlarının yetkinliğini artırılmasındaki etkisinin izlenmesi ve değerlendirilmesine yönelik mekanizmaların oluşturulmasının yara</w:t>
      </w:r>
      <w:r>
        <w:rPr>
          <w:rFonts w:ascii="Times New Roman" w:eastAsia="Times New Roman" w:hAnsi="Times New Roman" w:cs="Times New Roman"/>
        </w:rPr>
        <w:t xml:space="preserve">rlı olacağı değerlendirilmektedir. </w:t>
      </w:r>
    </w:p>
    <w:p w:rsidR="00247E15" w:rsidRDefault="00E75BDE">
      <w:pPr>
        <w:spacing w:before="240" w:after="240"/>
        <w:rPr>
          <w:rFonts w:ascii="Times New Roman" w:eastAsia="Times New Roman" w:hAnsi="Times New Roman" w:cs="Times New Roman"/>
        </w:rPr>
      </w:pPr>
      <w:r>
        <w:rPr>
          <w:rFonts w:ascii="Times New Roman" w:eastAsia="Times New Roman" w:hAnsi="Times New Roman" w:cs="Times New Roman"/>
        </w:rPr>
        <w:t>9. Program çıktısının izlenmesi ve değerlendirilmesi ile ilgili planlama yapılması güçlü bir yön olarak kabul edilmekle birlikte program çıktılarının izlenmesine dair bir çalışma yapılmadığı görülmektedir. Bu kapsamda me</w:t>
      </w:r>
      <w:r>
        <w:rPr>
          <w:rFonts w:ascii="Times New Roman" w:eastAsia="Times New Roman" w:hAnsi="Times New Roman" w:cs="Times New Roman"/>
        </w:rPr>
        <w:t xml:space="preserve">zunların programdan memnuniyetleri, mezunların kaçının iş bulabildiği, mezunların çalıştı yerlerdeki iş verenlerin değerlendirilmesi gibi paydaşlardan geri bildirimlerin alınmasının güncelleme ve iyileştirme çalışmalarının yapılabilmesi için önemli olduğu </w:t>
      </w:r>
      <w:r>
        <w:rPr>
          <w:rFonts w:ascii="Times New Roman" w:eastAsia="Times New Roman" w:hAnsi="Times New Roman" w:cs="Times New Roman"/>
        </w:rPr>
        <w:t>düşünülmektedir.</w:t>
      </w:r>
    </w:p>
    <w:p w:rsidR="00247E15" w:rsidRDefault="00E75BDE">
      <w:r>
        <w:rPr>
          <w:b/>
        </w:rPr>
        <w:t>B.1 Gelişmeye açık yanlar</w:t>
      </w:r>
      <w:r>
        <w:t xml:space="preserve"> (BİDR raporunda ve saha ziyaretinde elde edilen bulgular çerçevesinde gelişmeye açık yanlar veya varsa takımın önerileri belirtilir)</w:t>
      </w:r>
    </w:p>
    <w:tbl>
      <w:tblPr>
        <w:tblStyle w:val="a0"/>
        <w:tblW w:w="9431" w:type="dxa"/>
        <w:tblInd w:w="0" w:type="dxa"/>
        <w:tblBorders>
          <w:top w:val="single" w:sz="8" w:space="0" w:color="4A66AC"/>
          <w:left w:val="single" w:sz="8" w:space="0" w:color="4A66AC"/>
          <w:bottom w:val="single" w:sz="8" w:space="0" w:color="4A66AC"/>
          <w:right w:val="single" w:sz="8" w:space="0" w:color="4A66AC"/>
          <w:insideH w:val="single" w:sz="8" w:space="0" w:color="83B9C2"/>
          <w:insideV w:val="single" w:sz="4" w:space="0" w:color="000000"/>
        </w:tblBorders>
        <w:tblLayout w:type="fixed"/>
        <w:tblLook w:val="0400" w:firstRow="0" w:lastRow="0" w:firstColumn="0" w:lastColumn="0" w:noHBand="0" w:noVBand="1"/>
      </w:tblPr>
      <w:tblGrid>
        <w:gridCol w:w="562"/>
        <w:gridCol w:w="5670"/>
        <w:gridCol w:w="3199"/>
      </w:tblGrid>
      <w:tr w:rsidR="00247E15">
        <w:tc>
          <w:tcPr>
            <w:tcW w:w="562" w:type="dxa"/>
          </w:tcPr>
          <w:p w:rsidR="00247E15" w:rsidRDefault="00247E15">
            <w:pPr>
              <w:spacing w:line="276" w:lineRule="auto"/>
              <w:rPr>
                <w:b/>
              </w:rPr>
            </w:pPr>
          </w:p>
        </w:tc>
        <w:tc>
          <w:tcPr>
            <w:tcW w:w="5670" w:type="dxa"/>
          </w:tcPr>
          <w:p w:rsidR="00247E15" w:rsidRDefault="00E75BDE">
            <w:pPr>
              <w:spacing w:line="276" w:lineRule="auto"/>
              <w:rPr>
                <w:b/>
              </w:rPr>
            </w:pPr>
            <w:r>
              <w:rPr>
                <w:b/>
              </w:rPr>
              <w:t>Gelişmeye Açık Yanlar</w:t>
            </w:r>
          </w:p>
        </w:tc>
        <w:tc>
          <w:tcPr>
            <w:tcW w:w="3199" w:type="dxa"/>
          </w:tcPr>
          <w:p w:rsidR="00247E15" w:rsidRDefault="00E75BDE">
            <w:pPr>
              <w:spacing w:line="276" w:lineRule="auto"/>
              <w:rPr>
                <w:b/>
              </w:rPr>
            </w:pPr>
            <w:r>
              <w:rPr>
                <w:b/>
              </w:rPr>
              <w:t xml:space="preserve">Öneri </w:t>
            </w:r>
          </w:p>
        </w:tc>
      </w:tr>
      <w:tr w:rsidR="00247E15">
        <w:tc>
          <w:tcPr>
            <w:tcW w:w="562" w:type="dxa"/>
          </w:tcPr>
          <w:p w:rsidR="00247E15" w:rsidRDefault="00E75BDE">
            <w:pPr>
              <w:spacing w:line="276" w:lineRule="auto"/>
              <w:rPr>
                <w:b/>
              </w:rPr>
            </w:pPr>
            <w:r>
              <w:rPr>
                <w:b/>
              </w:rPr>
              <w:t>1</w:t>
            </w:r>
          </w:p>
        </w:tc>
        <w:tc>
          <w:tcPr>
            <w:tcW w:w="5670" w:type="dxa"/>
          </w:tcPr>
          <w:p w:rsidR="00247E15" w:rsidRDefault="00E75BDE">
            <w:pPr>
              <w:spacing w:line="276" w:lineRule="auto"/>
              <w:rPr>
                <w:b/>
              </w:rPr>
            </w:pPr>
            <w:r>
              <w:t>Her programın müfredat tasarımında programdaki derslerin TYÇÇ ve Program Çıktıları (PÇ) ile derslerin l ilişkilendilmesine yönelik çalışmaların yapılmaması ve paydaşlara duyurulmaması,</w:t>
            </w:r>
          </w:p>
        </w:tc>
        <w:tc>
          <w:tcPr>
            <w:tcW w:w="3199" w:type="dxa"/>
          </w:tcPr>
          <w:p w:rsidR="00247E15" w:rsidRDefault="00247E15">
            <w:pPr>
              <w:spacing w:line="276" w:lineRule="auto"/>
              <w:rPr>
                <w:b/>
              </w:rPr>
            </w:pPr>
          </w:p>
        </w:tc>
      </w:tr>
      <w:tr w:rsidR="00247E15">
        <w:tc>
          <w:tcPr>
            <w:tcW w:w="562" w:type="dxa"/>
          </w:tcPr>
          <w:p w:rsidR="00247E15" w:rsidRDefault="00E75BDE">
            <w:pPr>
              <w:spacing w:line="276" w:lineRule="auto"/>
              <w:rPr>
                <w:b/>
              </w:rPr>
            </w:pPr>
            <w:r>
              <w:rPr>
                <w:b/>
              </w:rPr>
              <w:t>2</w:t>
            </w:r>
          </w:p>
        </w:tc>
        <w:tc>
          <w:tcPr>
            <w:tcW w:w="5670" w:type="dxa"/>
          </w:tcPr>
          <w:p w:rsidR="00247E15" w:rsidRDefault="00E75BDE">
            <w:pPr>
              <w:spacing w:line="276" w:lineRule="auto"/>
            </w:pPr>
            <w:r>
              <w:t xml:space="preserve">Her program bazında zorunlu, seçmeli, uygulamalı ve uzaktan eğitim </w:t>
            </w:r>
            <w:r>
              <w:t>ile verilen derslerin PÇ kapsamında değerlendirilmesi ve müfredat güncellemelere esas oluşturacak şekilde yapılandırılmasına yönelik sınırlı kanıtların bulunması</w:t>
            </w:r>
          </w:p>
        </w:tc>
        <w:tc>
          <w:tcPr>
            <w:tcW w:w="3199" w:type="dxa"/>
          </w:tcPr>
          <w:p w:rsidR="00247E15" w:rsidRDefault="00247E15">
            <w:pPr>
              <w:spacing w:line="276" w:lineRule="auto"/>
              <w:rPr>
                <w:b/>
              </w:rPr>
            </w:pPr>
          </w:p>
        </w:tc>
      </w:tr>
      <w:tr w:rsidR="00247E15">
        <w:tc>
          <w:tcPr>
            <w:tcW w:w="562" w:type="dxa"/>
          </w:tcPr>
          <w:p w:rsidR="00247E15" w:rsidRDefault="00E75BDE">
            <w:pPr>
              <w:spacing w:line="276" w:lineRule="auto"/>
              <w:rPr>
                <w:b/>
              </w:rPr>
            </w:pPr>
            <w:r>
              <w:rPr>
                <w:b/>
              </w:rPr>
              <w:t>3</w:t>
            </w:r>
          </w:p>
        </w:tc>
        <w:tc>
          <w:tcPr>
            <w:tcW w:w="5670" w:type="dxa"/>
          </w:tcPr>
          <w:p w:rsidR="00247E15" w:rsidRDefault="00E75BDE">
            <w:pPr>
              <w:spacing w:before="240" w:after="240" w:line="276" w:lineRule="auto"/>
              <w:rPr>
                <w:b/>
              </w:rPr>
            </w:pPr>
            <w:r>
              <w:rPr>
                <w:rFonts w:ascii="Times New Roman" w:eastAsia="Times New Roman" w:hAnsi="Times New Roman" w:cs="Times New Roman"/>
              </w:rPr>
              <w:t>Öğretim yöntem ve teknikleri planlanırken öğrencilerin katılımlarının sağlandığı uygulamal</w:t>
            </w:r>
            <w:r>
              <w:rPr>
                <w:rFonts w:ascii="Times New Roman" w:eastAsia="Times New Roman" w:hAnsi="Times New Roman" w:cs="Times New Roman"/>
              </w:rPr>
              <w:t>ar ve ders bazında öğrenim çıktılarına ulaşılıp ulaşılamadığına dair bir izleme ve değerlendirme yapılıp paydaşlara duyurulması,</w:t>
            </w:r>
          </w:p>
        </w:tc>
        <w:tc>
          <w:tcPr>
            <w:tcW w:w="3199" w:type="dxa"/>
          </w:tcPr>
          <w:p w:rsidR="00247E15" w:rsidRDefault="00247E15">
            <w:pPr>
              <w:spacing w:line="276" w:lineRule="auto"/>
              <w:rPr>
                <w:b/>
              </w:rPr>
            </w:pPr>
          </w:p>
        </w:tc>
      </w:tr>
      <w:tr w:rsidR="00247E15">
        <w:tc>
          <w:tcPr>
            <w:tcW w:w="562" w:type="dxa"/>
          </w:tcPr>
          <w:p w:rsidR="00247E15" w:rsidRDefault="00E75BDE">
            <w:pPr>
              <w:spacing w:line="276" w:lineRule="auto"/>
              <w:rPr>
                <w:b/>
              </w:rPr>
            </w:pPr>
            <w:r>
              <w:rPr>
                <w:b/>
              </w:rPr>
              <w:t>4</w:t>
            </w:r>
          </w:p>
        </w:tc>
        <w:tc>
          <w:tcPr>
            <w:tcW w:w="5670" w:type="dxa"/>
          </w:tcPr>
          <w:p w:rsidR="00247E15" w:rsidRDefault="00E75BDE">
            <w:pPr>
              <w:spacing w:before="240" w:after="240" w:line="276" w:lineRule="auto"/>
              <w:rPr>
                <w:b/>
              </w:rPr>
            </w:pPr>
            <w:r>
              <w:rPr>
                <w:rFonts w:ascii="Times New Roman" w:eastAsia="Times New Roman" w:hAnsi="Times New Roman" w:cs="Times New Roman"/>
              </w:rPr>
              <w:t xml:space="preserve">Uzakta eğitim yöntemi ile verilen dersler ile ilgili olarak yapılan uygulamaların izlenmesi ve değerlendirilmesine </w:t>
            </w:r>
            <w:r>
              <w:t>yönelik sınırlı kanıtların bulunması</w:t>
            </w:r>
          </w:p>
        </w:tc>
        <w:tc>
          <w:tcPr>
            <w:tcW w:w="3199" w:type="dxa"/>
          </w:tcPr>
          <w:p w:rsidR="00247E15" w:rsidRDefault="00247E15">
            <w:pPr>
              <w:spacing w:line="276" w:lineRule="auto"/>
              <w:rPr>
                <w:b/>
              </w:rPr>
            </w:pPr>
          </w:p>
        </w:tc>
      </w:tr>
      <w:tr w:rsidR="00247E15">
        <w:tc>
          <w:tcPr>
            <w:tcW w:w="562" w:type="dxa"/>
          </w:tcPr>
          <w:p w:rsidR="00247E15" w:rsidRDefault="00E75BDE">
            <w:pPr>
              <w:spacing w:line="276" w:lineRule="auto"/>
              <w:rPr>
                <w:b/>
              </w:rPr>
            </w:pPr>
            <w:r>
              <w:rPr>
                <w:b/>
              </w:rPr>
              <w:t>5</w:t>
            </w:r>
          </w:p>
        </w:tc>
        <w:tc>
          <w:tcPr>
            <w:tcW w:w="5670" w:type="dxa"/>
          </w:tcPr>
          <w:p w:rsidR="00247E15" w:rsidRDefault="00E75BDE">
            <w:pPr>
              <w:spacing w:line="276" w:lineRule="auto"/>
              <w:rPr>
                <w:b/>
              </w:rPr>
            </w:pPr>
            <w:r>
              <w:rPr>
                <w:rFonts w:ascii="Times New Roman" w:eastAsia="Times New Roman" w:hAnsi="Times New Roman" w:cs="Times New Roman"/>
              </w:rPr>
              <w:t xml:space="preserve">Öğrenci başına düşen eğitim-öğretim alanı, öğretim elamanı, gibi kritik başarı faktörlerini içeren uygulamalar ve buna yönelik iyileştirmelere </w:t>
            </w:r>
            <w:r>
              <w:t>yönelik sınırlı kanıtların bulunması</w:t>
            </w:r>
          </w:p>
        </w:tc>
        <w:tc>
          <w:tcPr>
            <w:tcW w:w="3199" w:type="dxa"/>
          </w:tcPr>
          <w:p w:rsidR="00247E15" w:rsidRDefault="00247E15">
            <w:pPr>
              <w:spacing w:line="276" w:lineRule="auto"/>
              <w:rPr>
                <w:b/>
              </w:rPr>
            </w:pPr>
          </w:p>
        </w:tc>
      </w:tr>
      <w:tr w:rsidR="00247E15">
        <w:tc>
          <w:tcPr>
            <w:tcW w:w="562" w:type="dxa"/>
          </w:tcPr>
          <w:p w:rsidR="00247E15" w:rsidRDefault="00E75BDE">
            <w:pPr>
              <w:spacing w:line="276" w:lineRule="auto"/>
              <w:rPr>
                <w:b/>
              </w:rPr>
            </w:pPr>
            <w:r>
              <w:rPr>
                <w:b/>
              </w:rPr>
              <w:t>6</w:t>
            </w:r>
          </w:p>
        </w:tc>
        <w:tc>
          <w:tcPr>
            <w:tcW w:w="5670" w:type="dxa"/>
          </w:tcPr>
          <w:p w:rsidR="00247E15" w:rsidRDefault="00E75BDE">
            <w:pPr>
              <w:spacing w:line="276" w:lineRule="auto"/>
              <w:rPr>
                <w:b/>
              </w:rPr>
            </w:pPr>
            <w:r>
              <w:rPr>
                <w:rFonts w:ascii="Times New Roman" w:eastAsia="Times New Roman" w:hAnsi="Times New Roman" w:cs="Times New Roman"/>
              </w:rPr>
              <w:t>Yüksekokulun bünyesindeki progr</w:t>
            </w:r>
            <w:r>
              <w:rPr>
                <w:rFonts w:ascii="Times New Roman" w:eastAsia="Times New Roman" w:hAnsi="Times New Roman" w:cs="Times New Roman"/>
              </w:rPr>
              <w:t>amlara özgün eğiticilerin eğitimi programı uygulaması ve eğitim alan öğretim elemanlarının yetkinliğini artırılmasındaki etkisinin izlenmesi ve değerlendirilmesine yönelik mekanizmaların oluşturulması,</w:t>
            </w:r>
          </w:p>
        </w:tc>
        <w:tc>
          <w:tcPr>
            <w:tcW w:w="3199" w:type="dxa"/>
          </w:tcPr>
          <w:p w:rsidR="00247E15" w:rsidRDefault="00247E15">
            <w:pPr>
              <w:spacing w:line="276" w:lineRule="auto"/>
              <w:rPr>
                <w:b/>
              </w:rPr>
            </w:pPr>
          </w:p>
        </w:tc>
      </w:tr>
      <w:tr w:rsidR="00247E15">
        <w:tc>
          <w:tcPr>
            <w:tcW w:w="562" w:type="dxa"/>
          </w:tcPr>
          <w:p w:rsidR="00247E15" w:rsidRDefault="00E75BDE">
            <w:pPr>
              <w:spacing w:line="276" w:lineRule="auto"/>
              <w:rPr>
                <w:b/>
              </w:rPr>
            </w:pPr>
            <w:r>
              <w:rPr>
                <w:b/>
              </w:rPr>
              <w:t>7</w:t>
            </w:r>
          </w:p>
        </w:tc>
        <w:tc>
          <w:tcPr>
            <w:tcW w:w="5670" w:type="dxa"/>
          </w:tcPr>
          <w:p w:rsidR="00247E15" w:rsidRDefault="00E75BDE">
            <w:pPr>
              <w:spacing w:line="276" w:lineRule="auto"/>
            </w:pPr>
            <w:r>
              <w:rPr>
                <w:rFonts w:ascii="Times New Roman" w:eastAsia="Times New Roman" w:hAnsi="Times New Roman" w:cs="Times New Roman"/>
              </w:rPr>
              <w:t xml:space="preserve">Program çıktılarının değerlendirilmesi amacıyla mezunlar, mezun çalıştıran işveren, programdan memnuniyet gibi  mekanizmalar ile sonuçların izlenmesi ve paydaşlarla birlikte değerlendirerek programların güncellenmesine </w:t>
            </w:r>
            <w:r>
              <w:t>yönelik sınırlı kanıtların bulunması</w:t>
            </w:r>
          </w:p>
          <w:p w:rsidR="00247E15" w:rsidRDefault="00247E15">
            <w:pPr>
              <w:spacing w:line="276" w:lineRule="auto"/>
              <w:rPr>
                <w:rFonts w:ascii="Times New Roman" w:eastAsia="Times New Roman" w:hAnsi="Times New Roman" w:cs="Times New Roman"/>
              </w:rPr>
            </w:pPr>
          </w:p>
        </w:tc>
        <w:tc>
          <w:tcPr>
            <w:tcW w:w="3199" w:type="dxa"/>
          </w:tcPr>
          <w:p w:rsidR="00247E15" w:rsidRDefault="00247E15">
            <w:pPr>
              <w:spacing w:line="276" w:lineRule="auto"/>
              <w:rPr>
                <w:b/>
              </w:rPr>
            </w:pPr>
          </w:p>
        </w:tc>
      </w:tr>
    </w:tbl>
    <w:p w:rsidR="00247E15" w:rsidRDefault="00247E15">
      <w:pPr>
        <w:jc w:val="left"/>
        <w:rPr>
          <w:b/>
        </w:rPr>
      </w:pPr>
      <w:bookmarkStart w:id="1" w:name="_GoBack"/>
      <w:bookmarkEnd w:id="1"/>
    </w:p>
    <w:p w:rsidR="00247E15" w:rsidRDefault="00E75BDE">
      <w:r>
        <w:rPr>
          <w:b/>
        </w:rPr>
        <w:t>C. ARAŞTIRMA GELİŞTİRME</w:t>
      </w:r>
      <w:r>
        <w:t xml:space="preserve"> </w:t>
      </w:r>
    </w:p>
    <w:p w:rsidR="00247E15" w:rsidRDefault="00E75BDE">
      <w:pPr>
        <w:widowControl w:val="0"/>
        <w:shd w:val="clear" w:color="auto" w:fill="FFFFFF"/>
        <w:spacing w:before="240" w:after="0"/>
      </w:pPr>
      <w:r>
        <w:rPr>
          <w:b/>
        </w:rPr>
        <w:t xml:space="preserve">1. </w:t>
      </w:r>
      <w:r>
        <w:t xml:space="preserve">Sağlık Hizmetleri Meslek Yüksekokullarına yüklenen bir araştırma misyonu bulunmaması nedeniyle yüksekokula ait AR-GE merkezi ve AR-GE politikası oluşturulmadığı belirtilmektedir. Bununla birlikte; akademik personele yüksek lisans ve doktora eğitimleri ile </w:t>
      </w:r>
      <w:r>
        <w:t>araştırma projeleri ve uygulamaları için akademik izin ve bilimsel süreçler için teşvik edilmesi güçlü yön olarak değerlendirilmektedir. Diğer taraftan; Ar-Ge Strateji Politikası 2022-2026 SP de detaylı olarak verildiği, uluslararası düzeye makale, patent,</w:t>
      </w:r>
      <w:r>
        <w:t xml:space="preserve"> konferans/Sempozyum yapılması, ulusal ve ulusal işbirlikleri yaparak ortaklaşa araştırma projeleri geliştirmesi gibi hedeflerin belirlendiği ve SP de yer alan hedeflere ulaşılmasının amaçlandığı belirtilmiştir.</w:t>
      </w:r>
    </w:p>
    <w:p w:rsidR="00247E15" w:rsidRDefault="00247E15">
      <w:pPr>
        <w:rPr>
          <w:b/>
        </w:rPr>
      </w:pPr>
    </w:p>
    <w:p w:rsidR="00247E15" w:rsidRDefault="00E75BDE">
      <w:pPr>
        <w:rPr>
          <w:color w:val="000000"/>
        </w:rPr>
      </w:pPr>
      <w:r>
        <w:rPr>
          <w:b/>
        </w:rPr>
        <w:t xml:space="preserve">2. </w:t>
      </w:r>
      <w:r>
        <w:t xml:space="preserve">SP ‘de </w:t>
      </w:r>
      <w:r>
        <w:rPr>
          <w:color w:val="000000"/>
        </w:rPr>
        <w:t>Üniversite-Sanayi İşbirliği başlı</w:t>
      </w:r>
      <w:r>
        <w:rPr>
          <w:color w:val="000000"/>
        </w:rPr>
        <w:t>ğı altında</w:t>
      </w:r>
      <w:r>
        <w:rPr>
          <w:b/>
          <w:color w:val="000000"/>
        </w:rPr>
        <w:t xml:space="preserve"> “</w:t>
      </w:r>
      <w:r>
        <w:rPr>
          <w:i/>
          <w:color w:val="000000"/>
        </w:rPr>
        <w:t xml:space="preserve">Toros Üniversitesi öncelikle bölgesindeki sektörlerle işbirliğini artırmak ve ortak projeler yürütmek amacındadır. Böylelikle akademik bilgi ve tecrübe birikimini uygun ve öncelikli sektörlerle paylaşarak, iş dünyasının sorunlarına çözüm bulma </w:t>
      </w:r>
      <w:r>
        <w:rPr>
          <w:i/>
          <w:color w:val="000000"/>
        </w:rPr>
        <w:t>yönünde sürekli bir çaba içinde olmak kararlılığındadır</w:t>
      </w:r>
      <w:r>
        <w:rPr>
          <w:color w:val="000000"/>
        </w:rPr>
        <w:t xml:space="preserve">” ifadesini kapsayan </w:t>
      </w:r>
      <w:r>
        <w:t>Ar-Ge stratejisi kapsamında yapılan çalışmaların yüksekokulun eğitim-öğretim, uygulama ve diğer faaliyetlere katkılarını belirten özgün bir politikanın belirlenmesinde yarar görülm</w:t>
      </w:r>
      <w:r>
        <w:t>ektedir</w:t>
      </w:r>
      <w:r>
        <w:rPr>
          <w:color w:val="000000"/>
        </w:rPr>
        <w:t>.</w:t>
      </w:r>
    </w:p>
    <w:p w:rsidR="00247E15" w:rsidRDefault="00E75BDE">
      <w:r>
        <w:rPr>
          <w:b/>
        </w:rPr>
        <w:t>3</w:t>
      </w:r>
      <w:r>
        <w:t>. Yüksekokulun doğrudan Ar-Ge alanında faaliyetlerden sorumlu olmamakla birlikte ,SP de belirtilen hedeflere ulaşmasını sağlamak ve  bünyesinde görev yapan öğretim elemanları tarafından yapılan veya planlanan çalışmaların yerel, bölgesel/ulusal k</w:t>
      </w:r>
      <w:r>
        <w:t xml:space="preserve">alkınma hedefleri ile ilişkilendirilmesine yönelik farkındalık, uygulamalar ve çıktıların değerlendirmesine yönelik yıllık değerlendirme raporlarının hazırlanması ve bu kapsamda iyileştirmelerin yapılmasında yarar görülmektedir. </w:t>
      </w:r>
    </w:p>
    <w:p w:rsidR="00247E15" w:rsidRDefault="00E75BDE">
      <w:r>
        <w:rPr>
          <w:b/>
        </w:rPr>
        <w:t>C.1 Gelişmeye açık yanlar</w:t>
      </w:r>
      <w:r>
        <w:t xml:space="preserve"> </w:t>
      </w:r>
    </w:p>
    <w:tbl>
      <w:tblPr>
        <w:tblStyle w:val="a1"/>
        <w:tblW w:w="9431" w:type="dxa"/>
        <w:tblInd w:w="0" w:type="dxa"/>
        <w:tblBorders>
          <w:top w:val="single" w:sz="8" w:space="0" w:color="4A66AC"/>
          <w:left w:val="single" w:sz="8" w:space="0" w:color="4A66AC"/>
          <w:bottom w:val="single" w:sz="8" w:space="0" w:color="4A66AC"/>
          <w:right w:val="single" w:sz="8" w:space="0" w:color="4A66AC"/>
          <w:insideH w:val="single" w:sz="8" w:space="0" w:color="83B9C2"/>
          <w:insideV w:val="single" w:sz="4" w:space="0" w:color="000000"/>
        </w:tblBorders>
        <w:tblLayout w:type="fixed"/>
        <w:tblLook w:val="0400" w:firstRow="0" w:lastRow="0" w:firstColumn="0" w:lastColumn="0" w:noHBand="0" w:noVBand="1"/>
      </w:tblPr>
      <w:tblGrid>
        <w:gridCol w:w="562"/>
        <w:gridCol w:w="6096"/>
        <w:gridCol w:w="2773"/>
      </w:tblGrid>
      <w:tr w:rsidR="00247E15">
        <w:tc>
          <w:tcPr>
            <w:tcW w:w="562" w:type="dxa"/>
          </w:tcPr>
          <w:p w:rsidR="00247E15" w:rsidRDefault="00247E15">
            <w:pPr>
              <w:spacing w:line="276" w:lineRule="auto"/>
              <w:rPr>
                <w:b/>
              </w:rPr>
            </w:pPr>
          </w:p>
        </w:tc>
        <w:tc>
          <w:tcPr>
            <w:tcW w:w="6096" w:type="dxa"/>
          </w:tcPr>
          <w:p w:rsidR="00247E15" w:rsidRDefault="00E75BDE">
            <w:pPr>
              <w:spacing w:line="276" w:lineRule="auto"/>
              <w:rPr>
                <w:b/>
              </w:rPr>
            </w:pPr>
            <w:r>
              <w:rPr>
                <w:b/>
              </w:rPr>
              <w:t>Gelişmeye Açık Yanlar</w:t>
            </w:r>
          </w:p>
        </w:tc>
        <w:tc>
          <w:tcPr>
            <w:tcW w:w="2773" w:type="dxa"/>
          </w:tcPr>
          <w:p w:rsidR="00247E15" w:rsidRDefault="00E75BDE">
            <w:pPr>
              <w:spacing w:line="276" w:lineRule="auto"/>
              <w:rPr>
                <w:b/>
              </w:rPr>
            </w:pPr>
            <w:r>
              <w:rPr>
                <w:b/>
              </w:rPr>
              <w:t xml:space="preserve">Öneri </w:t>
            </w:r>
          </w:p>
        </w:tc>
      </w:tr>
      <w:tr w:rsidR="00247E15">
        <w:tc>
          <w:tcPr>
            <w:tcW w:w="562" w:type="dxa"/>
          </w:tcPr>
          <w:p w:rsidR="00247E15" w:rsidRDefault="00E75BDE">
            <w:pPr>
              <w:spacing w:line="276" w:lineRule="auto"/>
              <w:rPr>
                <w:b/>
              </w:rPr>
            </w:pPr>
            <w:r>
              <w:rPr>
                <w:b/>
              </w:rPr>
              <w:t>1</w:t>
            </w:r>
          </w:p>
        </w:tc>
        <w:tc>
          <w:tcPr>
            <w:tcW w:w="6096" w:type="dxa"/>
          </w:tcPr>
          <w:p w:rsidR="00247E15" w:rsidRDefault="00E75BDE">
            <w:pPr>
              <w:spacing w:line="276" w:lineRule="auto"/>
              <w:rPr>
                <w:b/>
              </w:rPr>
            </w:pPr>
            <w:r>
              <w:t>Ar-Ge stratejisi kapsamında yapılan çalışmaların yüksekokulun eğitim-öğretim, uygulama ve diğer faaliyetlere katkılarını belirten özgün bir politakının oluşturulması</w:t>
            </w:r>
          </w:p>
        </w:tc>
        <w:tc>
          <w:tcPr>
            <w:tcW w:w="2773" w:type="dxa"/>
          </w:tcPr>
          <w:p w:rsidR="00247E15" w:rsidRDefault="00247E15">
            <w:pPr>
              <w:spacing w:line="276" w:lineRule="auto"/>
              <w:rPr>
                <w:b/>
              </w:rPr>
            </w:pPr>
          </w:p>
        </w:tc>
      </w:tr>
      <w:tr w:rsidR="00247E15">
        <w:tc>
          <w:tcPr>
            <w:tcW w:w="562" w:type="dxa"/>
          </w:tcPr>
          <w:p w:rsidR="00247E15" w:rsidRDefault="00E75BDE">
            <w:pPr>
              <w:spacing w:line="276" w:lineRule="auto"/>
              <w:rPr>
                <w:b/>
              </w:rPr>
            </w:pPr>
            <w:r>
              <w:rPr>
                <w:b/>
              </w:rPr>
              <w:t>2</w:t>
            </w:r>
          </w:p>
        </w:tc>
        <w:tc>
          <w:tcPr>
            <w:tcW w:w="6096" w:type="dxa"/>
          </w:tcPr>
          <w:p w:rsidR="00247E15" w:rsidRDefault="00E75BDE">
            <w:pPr>
              <w:spacing w:line="276" w:lineRule="auto"/>
              <w:rPr>
                <w:b/>
              </w:rPr>
            </w:pPr>
            <w:r>
              <w:t xml:space="preserve">SP de belirtilen hedeflere ulaşmasını sağlamak ve  </w:t>
            </w:r>
            <w:r>
              <w:t>bünyesinde görev yapan öğretim elemanları tarafından yapılan veya planlanan çalışmaların yerel, bölgesel/ulusal kalkınma hedefleri ile ilişkilendirilmesine yönelik farkındalık, uygulamalar ve çıktıların değerlendirmesine yönelik yıllık değerlendirme raporl</w:t>
            </w:r>
            <w:r>
              <w:t>arının hazırlanması ve bu kapsamda iyileştirmlerin yapılmasına yönelik mekanizmalara yönelik kısıtlı kanıtların bulunması</w:t>
            </w:r>
          </w:p>
        </w:tc>
        <w:tc>
          <w:tcPr>
            <w:tcW w:w="2773" w:type="dxa"/>
          </w:tcPr>
          <w:p w:rsidR="00247E15" w:rsidRDefault="00247E15">
            <w:pPr>
              <w:spacing w:line="276" w:lineRule="auto"/>
              <w:rPr>
                <w:b/>
              </w:rPr>
            </w:pPr>
          </w:p>
        </w:tc>
      </w:tr>
    </w:tbl>
    <w:p w:rsidR="00247E15" w:rsidRDefault="00247E15">
      <w:pPr>
        <w:rPr>
          <w:b/>
        </w:rPr>
      </w:pPr>
    </w:p>
    <w:p w:rsidR="00247E15" w:rsidRDefault="00E75BDE">
      <w:pPr>
        <w:rPr>
          <w:b/>
        </w:rPr>
      </w:pPr>
      <w:r>
        <w:rPr>
          <w:b/>
        </w:rPr>
        <w:t>D. TOPLUMSAL KATKI</w:t>
      </w:r>
    </w:p>
    <w:p w:rsidR="00247E15" w:rsidRDefault="00E75BDE">
      <w:pPr>
        <w:spacing w:after="0"/>
      </w:pPr>
      <w:r>
        <w:rPr>
          <w:b/>
        </w:rPr>
        <w:t xml:space="preserve">1.  </w:t>
      </w:r>
      <w:r>
        <w:t>Toplumsal Katkı ve Stratejisi başlığı altında</w:t>
      </w:r>
      <w:r>
        <w:rPr>
          <w:b/>
        </w:rPr>
        <w:t xml:space="preserve"> “</w:t>
      </w:r>
      <w:r>
        <w:t>Üniversitemiz, proje hazırlanması, toplum adına düzenlenen çeşitli farkındalık eğitimleri düzenlenmesi, üretilen bilimsel bilginin topluma hizmet sağlaması yönünde geliştirilmesi ve sivil toplum ile iş birliklerinin tesis edilmesi gibi toplumsal katkı faal</w:t>
      </w:r>
      <w:r>
        <w:t>iyetlerinin sürdürülebilirliği için tüm mensuplarına sürekli katkı sağlar ve onlarla iletişimde bulunarak faaliyetlerini teşvik eder” ifadesi yer almaktadır. Bu kapsamda Yüksekokul tarafından yapılacak olan faaliyetlerin yürütülmesine esas teşkil edecek  s</w:t>
      </w:r>
      <w:r>
        <w:t>omut olarak ölçülebilecek, hedef kitlesi belirlenmiş ve uygulamalardan elde edilecek sonuçların uygulanabilirliğini belirten politika veya stratejinin belirlenmesine yarar bulunmaktadır. Bununla birlikte, 2022-2026 stratejik planında performans göstergeler</w:t>
      </w:r>
      <w:r>
        <w:t xml:space="preserve"> belirlenmesi ve paydaşlara duyurulması güçlü yön olarak değerlendirilmektedir. </w:t>
      </w:r>
    </w:p>
    <w:p w:rsidR="00247E15" w:rsidRDefault="00247E15">
      <w:pPr>
        <w:spacing w:after="0"/>
      </w:pPr>
    </w:p>
    <w:p w:rsidR="00247E15" w:rsidRDefault="00E75BDE">
      <w:r>
        <w:t>2. Yüksekokulun 2022-2026 stratejik plan hedefleri doğrultusunda Toplumsal Katkı süreçlerinin  “izlenmekte, değerlendirilmekte ve iyileştirmeler yapılmaktadır” denilmekle bir</w:t>
      </w:r>
      <w:r>
        <w:t>likte yapılan faaliyetlerden bazı uygulamalar bulunmakla birlikte bu faaliyetlerin toplumsal katkı düzeylerinin ne olduğu, ekilerinin ne olduğu gibi değerlendirmeler ile ilgili bulgulara rastlanmamıştır. Bununla birlikte; stratejik plan ile toplumsal katkı</w:t>
      </w:r>
      <w:r>
        <w:t xml:space="preserve"> süreçlerini güçlendirmek amacıyla TORSEM faaliyetlerinin yanı sıra Sağlık Hizmetleri Meslek Yüksekokulu’na bağlı 5 bölüm, 11 program kendi uzmanlık alanları kapsamında sosyal sorumluluk projeleri gerçekleştirmesi ve eğitimler düzenlenmesi ile destek sağla</w:t>
      </w:r>
      <w:r>
        <w:t>nması ile ilgili planlamaların yapılması güçlü yön olarak değerlendirilmektedir.</w:t>
      </w:r>
    </w:p>
    <w:p w:rsidR="00247E15" w:rsidRDefault="00247E15">
      <w:pPr>
        <w:spacing w:after="0"/>
      </w:pPr>
    </w:p>
    <w:p w:rsidR="00247E15" w:rsidRDefault="00E75BDE">
      <w:r>
        <w:rPr>
          <w:b/>
        </w:rPr>
        <w:t>C.1 Gelişmeye açık yanlar</w:t>
      </w:r>
      <w:r>
        <w:t xml:space="preserve"> </w:t>
      </w:r>
    </w:p>
    <w:tbl>
      <w:tblPr>
        <w:tblStyle w:val="a2"/>
        <w:tblW w:w="9431" w:type="dxa"/>
        <w:tblInd w:w="0" w:type="dxa"/>
        <w:tblBorders>
          <w:top w:val="single" w:sz="8" w:space="0" w:color="4A66AC"/>
          <w:left w:val="single" w:sz="8" w:space="0" w:color="4A66AC"/>
          <w:bottom w:val="single" w:sz="8" w:space="0" w:color="4A66AC"/>
          <w:right w:val="single" w:sz="8" w:space="0" w:color="4A66AC"/>
          <w:insideH w:val="single" w:sz="8" w:space="0" w:color="83B9C2"/>
          <w:insideV w:val="single" w:sz="4" w:space="0" w:color="000000"/>
        </w:tblBorders>
        <w:tblLayout w:type="fixed"/>
        <w:tblLook w:val="0400" w:firstRow="0" w:lastRow="0" w:firstColumn="0" w:lastColumn="0" w:noHBand="0" w:noVBand="1"/>
      </w:tblPr>
      <w:tblGrid>
        <w:gridCol w:w="562"/>
        <w:gridCol w:w="6096"/>
        <w:gridCol w:w="2773"/>
      </w:tblGrid>
      <w:tr w:rsidR="00247E15">
        <w:tc>
          <w:tcPr>
            <w:tcW w:w="562" w:type="dxa"/>
          </w:tcPr>
          <w:p w:rsidR="00247E15" w:rsidRDefault="00247E15">
            <w:pPr>
              <w:spacing w:line="276" w:lineRule="auto"/>
              <w:rPr>
                <w:b/>
              </w:rPr>
            </w:pPr>
          </w:p>
        </w:tc>
        <w:tc>
          <w:tcPr>
            <w:tcW w:w="6096" w:type="dxa"/>
          </w:tcPr>
          <w:p w:rsidR="00247E15" w:rsidRDefault="00E75BDE">
            <w:pPr>
              <w:spacing w:line="276" w:lineRule="auto"/>
              <w:rPr>
                <w:b/>
              </w:rPr>
            </w:pPr>
            <w:r>
              <w:rPr>
                <w:b/>
              </w:rPr>
              <w:t>Gelişmeye Açık Yanlar</w:t>
            </w:r>
          </w:p>
        </w:tc>
        <w:tc>
          <w:tcPr>
            <w:tcW w:w="2773" w:type="dxa"/>
          </w:tcPr>
          <w:p w:rsidR="00247E15" w:rsidRDefault="00E75BDE">
            <w:pPr>
              <w:spacing w:line="276" w:lineRule="auto"/>
              <w:rPr>
                <w:b/>
              </w:rPr>
            </w:pPr>
            <w:r>
              <w:rPr>
                <w:b/>
              </w:rPr>
              <w:t xml:space="preserve">Öneri </w:t>
            </w:r>
          </w:p>
        </w:tc>
      </w:tr>
      <w:tr w:rsidR="00247E15">
        <w:tc>
          <w:tcPr>
            <w:tcW w:w="562" w:type="dxa"/>
          </w:tcPr>
          <w:p w:rsidR="00247E15" w:rsidRDefault="00E75BDE">
            <w:pPr>
              <w:spacing w:line="276" w:lineRule="auto"/>
              <w:rPr>
                <w:b/>
              </w:rPr>
            </w:pPr>
            <w:r>
              <w:rPr>
                <w:b/>
              </w:rPr>
              <w:t>1</w:t>
            </w:r>
          </w:p>
        </w:tc>
        <w:tc>
          <w:tcPr>
            <w:tcW w:w="6096" w:type="dxa"/>
          </w:tcPr>
          <w:p w:rsidR="00247E15" w:rsidRDefault="00E75BDE">
            <w:pPr>
              <w:spacing w:line="276" w:lineRule="auto"/>
              <w:rPr>
                <w:b/>
              </w:rPr>
            </w:pPr>
            <w:r>
              <w:t>Yüksekokul tarafından yapılacak olan toplumsal katkı faaliyetlerin yürütülmesine esas teşkil edecek, somut olarak ölçülebilecek, hedef kitlesi belirlenmiş ve uygulamalardan elde edilecek sonuçların uygulanabilirliğini gösteren politikanın yeniden belirlenm</w:t>
            </w:r>
            <w:r>
              <w:t>esi ve yarar bulunmaktadır</w:t>
            </w:r>
          </w:p>
        </w:tc>
        <w:tc>
          <w:tcPr>
            <w:tcW w:w="2773" w:type="dxa"/>
          </w:tcPr>
          <w:p w:rsidR="00247E15" w:rsidRDefault="00247E15">
            <w:pPr>
              <w:spacing w:line="276" w:lineRule="auto"/>
              <w:rPr>
                <w:b/>
              </w:rPr>
            </w:pPr>
          </w:p>
        </w:tc>
      </w:tr>
    </w:tbl>
    <w:p w:rsidR="00247E15" w:rsidRDefault="00247E15">
      <w:pPr>
        <w:rPr>
          <w:b/>
        </w:rPr>
      </w:pPr>
    </w:p>
    <w:p w:rsidR="00247E15" w:rsidRDefault="00247E15">
      <w:pPr>
        <w:spacing w:after="0"/>
        <w:rPr>
          <w:rFonts w:ascii="Times New Roman" w:eastAsia="Times New Roman" w:hAnsi="Times New Roman" w:cs="Times New Roman"/>
        </w:rPr>
      </w:pPr>
    </w:p>
    <w:p w:rsidR="00247E15" w:rsidRDefault="00E75BDE">
      <w:r>
        <w:rPr>
          <w:b/>
        </w:rPr>
        <w:t>D. YÖNETİM SİSTEMİ</w:t>
      </w:r>
      <w:r w:rsidR="00356D51">
        <w:t xml:space="preserve"> (</w:t>
      </w:r>
      <w:r>
        <w:t>BİDR’de Yönetim Sistemi başlığı altında akademik birim tarafından gerçekleştirilen çalışma ve uygulamalara kısa bilgiler yer verilir)</w:t>
      </w:r>
    </w:p>
    <w:p w:rsidR="00247E15" w:rsidRDefault="00E75BDE">
      <w:pPr>
        <w:numPr>
          <w:ilvl w:val="0"/>
          <w:numId w:val="2"/>
        </w:numPr>
        <w:ind w:left="0" w:firstLine="0"/>
      </w:pPr>
      <w:r>
        <w:t>Birimin akademik ve idari konulardaki yetki kullanma ve karar alma dengesi müdür, müdür yardımcıları, yönetim kurulu ve yüksekokul kurulu ile sağlandığı, kurumun teşkilat yapısı web sitesinde duyurulduğu, akademik ve idari birim yöneticileri görev alanları</w:t>
      </w:r>
      <w:r>
        <w:t>nda tam yetkili olup, görev tanımları web sayfasında yer aldığı, öğrencilerin yönetime katılımları “Toros Üniversitesi Öğrenci Konseyi Yönergesi” kapsamında yüksekokul öğrenci temsilcisinin katılımıyla yapıldığı, birimin öğretim elemanlarının, idari person</w:t>
      </w:r>
      <w:r>
        <w:t xml:space="preserve">ellerin ve öğrencilerin birim yöneticilerine kolayca ulaşabildikleri ve bunlarla ilgili iletişim mekanizmaları oluşturulduğu ifadesi yer almaktadır.  </w:t>
      </w:r>
    </w:p>
    <w:p w:rsidR="00247E15" w:rsidRDefault="00E75BDE">
      <w:r>
        <w:t>-Öğrencilerin ve idari personelin eğitim öğretim süreçlerinde iş ve işlemlerde kullanacakları formların o</w:t>
      </w:r>
      <w:r>
        <w:t>luşturulmuş olması ve duyurulması güçlü yön olarak değerlendirilmektedir. Ancak</w:t>
      </w:r>
      <w:r w:rsidRPr="00356D51">
        <w:t xml:space="preserve">, </w:t>
      </w:r>
      <w:r w:rsidRPr="00356D51">
        <w:t xml:space="preserve">İdari personel bilgilerinin de Üniversitemiz genelinde kullanılan idari personel ara yüzününün kullanılması birimi daha kurumsal gösterecektir. Diğer taraftan, öğrencilerin </w:t>
      </w:r>
      <w:r w:rsidRPr="00356D51">
        <w:t>ö</w:t>
      </w:r>
      <w:r>
        <w:t>ğ</w:t>
      </w:r>
      <w:r>
        <w:t>rencilerin yöneticilere kolayca ulaşabildikleri ve bunlarla ilgili iletişim mekanizmaları oluşturulduğ</w:t>
      </w:r>
      <w:r w:rsidR="00356D51">
        <w:t xml:space="preserve">u belirtilmiş olmakla birlikte </w:t>
      </w:r>
      <w:r>
        <w:t>bu mekanizmaların işleyişi ve elde edilen sonuçların hangi iyileştirme aşamalarında kullanıldığına yönelik kısıtlı k</w:t>
      </w:r>
      <w:r>
        <w:t>anıtlara rastlanılmıştır.</w:t>
      </w:r>
    </w:p>
    <w:p w:rsidR="00247E15" w:rsidRDefault="00E75BDE">
      <w:pPr>
        <w:numPr>
          <w:ilvl w:val="0"/>
          <w:numId w:val="2"/>
        </w:numPr>
        <w:ind w:left="283" w:hanging="283"/>
      </w:pPr>
      <w:r>
        <w:rPr>
          <w:rFonts w:ascii="Times New Roman" w:eastAsia="Times New Roman" w:hAnsi="Times New Roman" w:cs="Times New Roman"/>
        </w:rPr>
        <w:t xml:space="preserve">Birim </w:t>
      </w:r>
      <w:r>
        <w:t>yönetiminin, kalite güvence sisteminin kurulması ve uygulanmasına yönelik kararlılığı ve desteği ile idari personelin de sürece aynı sahiplenmeyle dahil olduğu, birimlerden alınan hizmet içi eğitim talepleri doğrultusunda a</w:t>
      </w:r>
      <w:r>
        <w:t>kademik ve idari personellerin gelişimlerine katkıda bulunmak amacıyla eğitimler gerçekleştirildiği, akademik ve idari personellerin hizmet içi eğitimle ve bilgilendirme toplantıları ile niteliklerinin artırılması hedeflenmekte olduğu, yapılan memnuniyet a</w:t>
      </w:r>
      <w:r>
        <w:t>nketleri ile sunulan hizmetlerin değerlendirilmesi sonucunda elde edilen verilere göre iyileştirmeler yapılacağı, akademik personel memnuniyet anketi 2021 yılında yapılmış olup analizi sağlandıktan sonra paylaşılmasının planlandığı ifadeleri yer almaktadır</w:t>
      </w:r>
      <w:r>
        <w:t>.  Birimlerden alınan hizmet içi eğitim talepleri doğrultusunda akademik ve idari personellerin gelişimlerine katkıda bulunmak amacıyla eğitimler gerçekleştirildiği belirtilmekle birlikte herhangi bir bulguya rastlanılmamıştır.</w:t>
      </w:r>
    </w:p>
    <w:p w:rsidR="00247E15" w:rsidRDefault="00E75BDE">
      <w:pPr>
        <w:numPr>
          <w:ilvl w:val="0"/>
          <w:numId w:val="2"/>
        </w:numPr>
        <w:ind w:left="283" w:hanging="283"/>
      </w:pPr>
      <w:r>
        <w:t>Mütevelli Heyeti, Üniversit</w:t>
      </w:r>
      <w:r>
        <w:t>e Senatosu ve Yönetim Kurulu dışında Üniversite Danışma Kurulları ve Akademik Birimlerin Danışma Kurulları aracılığıyla yüz yüze ve elektronik ortamda bilgi paylaşımı yoluyla idari süreçleri geliştirmeye yönelik faaliyet önerileri oluşturulmakta ve ileriki</w:t>
      </w:r>
      <w:r>
        <w:t xml:space="preserve"> dönemlere ait planlama çalışmaları yapıldığı, kurumun stratejik hedefleri ve bu hedeflerin bölgesel/ulusal kalkınma hedefleri içindeki yönetsel yaklaşımı 2022-2026 Stratejik Planında detaylı olarak verildiği ifadeleri yer almaktadır. Danışma kurulları ara</w:t>
      </w:r>
      <w:r>
        <w:t>cılığıyla yüz yüze ve elektronik ortamda bilgi paylaşımı yoluyla idari süreçleri geliştirmeye yönelik faaliyet önerileri oluşturulması ve ileriki dönemlere ait planlama çalışmaları yapılması güçlü yön olarak değerlendirilmektedir. Ancak, birimin web sayfas</w:t>
      </w:r>
      <w:r>
        <w:t>ında danışma kurulu kararlarına ilişkin bulguya rastlanılmamıştır. Ayrıca, programların bazılarında danışma kurulu kararları güncellenmemiştir.</w:t>
      </w:r>
    </w:p>
    <w:p w:rsidR="00247E15" w:rsidRDefault="00247E15">
      <w:pPr>
        <w:ind w:left="720"/>
      </w:pPr>
    </w:p>
    <w:p w:rsidR="00247E15" w:rsidRDefault="00E75BDE">
      <w:pPr>
        <w:numPr>
          <w:ilvl w:val="0"/>
          <w:numId w:val="2"/>
        </w:numPr>
        <w:ind w:left="283" w:hanging="283"/>
      </w:pPr>
      <w:r>
        <w:t>Cumhurbaşkanlığı İletişim Merkezi (CİMER) aracılığı ile birime ilişkin şikâyet ve öneriler dikkate alınarak ger</w:t>
      </w:r>
      <w:r>
        <w:t>ekli geri bildirimler yapılmaktadır. Bununla birlikte birimin web sayfasında yer alan akademik ve idari personellerin kurumsal e-posta adresleri aracılığı ile şikâyet ve öneriler alınmaktadır. Birimlerce alınan şikâyet ve öneriler incelenerek iyileştirme f</w:t>
      </w:r>
      <w:r>
        <w:t>aaliyetleri gerçekleştirilmektedir. Birim yöneticileri, akademik personel, idari personel ve öğrenciler için ulaşılabilir olup çözüm odaklıdır. Ayrıca, birim genelinde uygulanan memnuniyet anketlerinde öneriler alınarak değerlendirilmektedir, ifadeleri yer</w:t>
      </w:r>
      <w:r>
        <w:t xml:space="preserve"> almaktadır. </w:t>
      </w:r>
    </w:p>
    <w:p w:rsidR="00247E15" w:rsidRDefault="00E75BDE">
      <w:pPr>
        <w:spacing w:before="120" w:after="0"/>
        <w:ind w:right="40"/>
      </w:pPr>
      <w:r>
        <w:t>Birime ilişkin şikayet ve önerilerin dikkate alınıp, geri bildirimlerin yapılması, iyileştirme faaliyetlerinin gerçekleştirilmesi, yöneticilerin çözüm odaklı olması ve memnuniyet anketlerinin yapılarak önerilerin alınması güçlü yön olarak değerlendirilmekt</w:t>
      </w:r>
      <w:r>
        <w:t xml:space="preserve">edir. Ancak, yapılan iyileştirmelere ilişkin bulguya rastlanılmamıştır. </w:t>
      </w:r>
    </w:p>
    <w:p w:rsidR="00247E15" w:rsidRDefault="00E75BDE">
      <w:pPr>
        <w:numPr>
          <w:ilvl w:val="0"/>
          <w:numId w:val="2"/>
        </w:numPr>
        <w:spacing w:before="120" w:after="0"/>
        <w:ind w:left="0" w:right="40" w:firstLine="0"/>
      </w:pPr>
      <w:r>
        <w:t>Birimin tantım faaliyeti kapsamında bölgede bulunan ortaöğretim kurumlarına ziyaretler gerçekleştirildiği, bölümler/programlar ile ilgili ayrıntılı bilgiler verildiği ve birim tarafın</w:t>
      </w:r>
      <w:r>
        <w:t>dan oluşturulan “Tanıtım-Sosyal İşler Koordinatörlüğü” güçlü yön olarak değerlendirilmektedir.  Ancak koordinatörlüğün faaliyetleri ile bölgede bulunan ortaöğretim kurumlarına yapılan ziyaretlere ilişkin bulguya rastlanılmamıştır.</w:t>
      </w:r>
    </w:p>
    <w:p w:rsidR="00247E15" w:rsidRDefault="00247E15">
      <w:pPr>
        <w:rPr>
          <w:rFonts w:ascii="Times New Roman" w:eastAsia="Times New Roman" w:hAnsi="Times New Roman" w:cs="Times New Roman"/>
          <w:b/>
          <w:highlight w:val="yellow"/>
        </w:rPr>
      </w:pPr>
    </w:p>
    <w:p w:rsidR="00247E15" w:rsidRDefault="00E75BDE">
      <w:r>
        <w:rPr>
          <w:b/>
        </w:rPr>
        <w:t>D.1 Gelişmeye açık yanl</w:t>
      </w:r>
      <w:r>
        <w:rPr>
          <w:b/>
        </w:rPr>
        <w:t>ar</w:t>
      </w:r>
      <w:r>
        <w:t xml:space="preserve"> (BİDR raporunda ve saha ziyaretinde elde edilen bulgular çerçevesinde gelişmeye açık yanlar veya varsa takımın önerileri belirtilir)</w:t>
      </w:r>
    </w:p>
    <w:tbl>
      <w:tblPr>
        <w:tblStyle w:val="a3"/>
        <w:tblW w:w="9431" w:type="dxa"/>
        <w:tblInd w:w="0" w:type="dxa"/>
        <w:tblBorders>
          <w:top w:val="single" w:sz="8" w:space="0" w:color="4A66AC"/>
          <w:left w:val="single" w:sz="8" w:space="0" w:color="4A66AC"/>
          <w:bottom w:val="single" w:sz="8" w:space="0" w:color="4A66AC"/>
          <w:right w:val="single" w:sz="8" w:space="0" w:color="4A66AC"/>
          <w:insideH w:val="single" w:sz="8" w:space="0" w:color="83B9C2"/>
          <w:insideV w:val="single" w:sz="4" w:space="0" w:color="000000"/>
        </w:tblBorders>
        <w:tblLayout w:type="fixed"/>
        <w:tblLook w:val="0400" w:firstRow="0" w:lastRow="0" w:firstColumn="0" w:lastColumn="0" w:noHBand="0" w:noVBand="1"/>
      </w:tblPr>
      <w:tblGrid>
        <w:gridCol w:w="562"/>
        <w:gridCol w:w="4820"/>
        <w:gridCol w:w="4049"/>
      </w:tblGrid>
      <w:tr w:rsidR="00247E15">
        <w:tc>
          <w:tcPr>
            <w:tcW w:w="562" w:type="dxa"/>
          </w:tcPr>
          <w:p w:rsidR="00247E15" w:rsidRDefault="00247E15">
            <w:pPr>
              <w:spacing w:line="276" w:lineRule="auto"/>
              <w:rPr>
                <w:b/>
              </w:rPr>
            </w:pPr>
          </w:p>
        </w:tc>
        <w:tc>
          <w:tcPr>
            <w:tcW w:w="4820" w:type="dxa"/>
          </w:tcPr>
          <w:p w:rsidR="00247E15" w:rsidRDefault="00E75BDE">
            <w:pPr>
              <w:spacing w:line="276" w:lineRule="auto"/>
              <w:rPr>
                <w:b/>
              </w:rPr>
            </w:pPr>
            <w:r>
              <w:rPr>
                <w:b/>
              </w:rPr>
              <w:t>Gelişmeye Açık Yanlar</w:t>
            </w:r>
          </w:p>
        </w:tc>
        <w:tc>
          <w:tcPr>
            <w:tcW w:w="4049" w:type="dxa"/>
          </w:tcPr>
          <w:p w:rsidR="00247E15" w:rsidRDefault="00E75BDE">
            <w:pPr>
              <w:spacing w:line="276" w:lineRule="auto"/>
              <w:rPr>
                <w:b/>
              </w:rPr>
            </w:pPr>
            <w:r>
              <w:rPr>
                <w:b/>
              </w:rPr>
              <w:t xml:space="preserve">Öneri </w:t>
            </w:r>
          </w:p>
        </w:tc>
      </w:tr>
      <w:tr w:rsidR="00247E15">
        <w:tc>
          <w:tcPr>
            <w:tcW w:w="562" w:type="dxa"/>
          </w:tcPr>
          <w:p w:rsidR="00247E15" w:rsidRDefault="00E75BDE">
            <w:pPr>
              <w:spacing w:line="276" w:lineRule="auto"/>
              <w:rPr>
                <w:b/>
              </w:rPr>
            </w:pPr>
            <w:r>
              <w:rPr>
                <w:b/>
              </w:rPr>
              <w:t>1</w:t>
            </w:r>
          </w:p>
        </w:tc>
        <w:tc>
          <w:tcPr>
            <w:tcW w:w="4820" w:type="dxa"/>
          </w:tcPr>
          <w:p w:rsidR="00247E15" w:rsidRDefault="00E75BDE">
            <w:pPr>
              <w:spacing w:line="276" w:lineRule="auto"/>
              <w:rPr>
                <w:b/>
              </w:rPr>
            </w:pPr>
            <w:r>
              <w:t>Öğrencilerin ve idari personelin eğitim öğretim süresince iş ve işlemlerde kullanacakla</w:t>
            </w:r>
            <w:r>
              <w:t>rı formların oluşturulmuş olması ve duyurulması güçlü yön olarak değerlendirilmektedir. İdari personel bilgilerinin  Üniversitemiz genelinde kullanılan idari personel ara yüzününün kullanılması birimi daha kurumsal gösterecektir.</w:t>
            </w:r>
          </w:p>
        </w:tc>
        <w:tc>
          <w:tcPr>
            <w:tcW w:w="4049" w:type="dxa"/>
          </w:tcPr>
          <w:p w:rsidR="00247E15" w:rsidRDefault="00247E15">
            <w:pPr>
              <w:spacing w:line="276" w:lineRule="auto"/>
              <w:rPr>
                <w:b/>
              </w:rPr>
            </w:pPr>
          </w:p>
        </w:tc>
      </w:tr>
      <w:tr w:rsidR="00247E15">
        <w:tc>
          <w:tcPr>
            <w:tcW w:w="562" w:type="dxa"/>
          </w:tcPr>
          <w:p w:rsidR="00247E15" w:rsidRDefault="00E75BDE">
            <w:pPr>
              <w:spacing w:line="276" w:lineRule="auto"/>
              <w:rPr>
                <w:b/>
              </w:rPr>
            </w:pPr>
            <w:r>
              <w:rPr>
                <w:b/>
              </w:rPr>
              <w:t>2</w:t>
            </w:r>
          </w:p>
        </w:tc>
        <w:tc>
          <w:tcPr>
            <w:tcW w:w="4820" w:type="dxa"/>
          </w:tcPr>
          <w:p w:rsidR="00247E15" w:rsidRDefault="00E75BDE">
            <w:pPr>
              <w:spacing w:line="276" w:lineRule="auto"/>
              <w:rPr>
                <w:b/>
              </w:rPr>
            </w:pPr>
            <w:r>
              <w:t>Birim öğretim elemanla</w:t>
            </w:r>
            <w:r>
              <w:t xml:space="preserve">rı, idari personelleri ve öğrencilerin yöneticilere nasıl ulaşabildiklerine dair iletişim mekanizmaların nasıl yürütüldüğünün belirtilmemesi, </w:t>
            </w:r>
          </w:p>
        </w:tc>
        <w:tc>
          <w:tcPr>
            <w:tcW w:w="4049" w:type="dxa"/>
          </w:tcPr>
          <w:p w:rsidR="00247E15" w:rsidRDefault="00247E15">
            <w:pPr>
              <w:spacing w:line="276" w:lineRule="auto"/>
              <w:rPr>
                <w:b/>
              </w:rPr>
            </w:pPr>
          </w:p>
        </w:tc>
      </w:tr>
      <w:tr w:rsidR="00247E15">
        <w:tc>
          <w:tcPr>
            <w:tcW w:w="562" w:type="dxa"/>
          </w:tcPr>
          <w:p w:rsidR="00247E15" w:rsidRDefault="00E75BDE">
            <w:pPr>
              <w:spacing w:line="276" w:lineRule="auto"/>
              <w:rPr>
                <w:b/>
              </w:rPr>
            </w:pPr>
            <w:r>
              <w:rPr>
                <w:b/>
              </w:rPr>
              <w:t>3</w:t>
            </w:r>
          </w:p>
        </w:tc>
        <w:tc>
          <w:tcPr>
            <w:tcW w:w="4820" w:type="dxa"/>
          </w:tcPr>
          <w:p w:rsidR="00247E15" w:rsidRDefault="00E75BDE">
            <w:pPr>
              <w:spacing w:line="276" w:lineRule="auto"/>
            </w:pPr>
            <w:r>
              <w:t xml:space="preserve">Hizmet içi eğitim talepleri doğrultusunda akademik ve idari personellerin gelişimlerine katkıda bulunmak amacıyla eğitimler gerçekleştirildiğine ilişkin belgelere yer verilmemesi </w:t>
            </w:r>
          </w:p>
        </w:tc>
        <w:tc>
          <w:tcPr>
            <w:tcW w:w="4049" w:type="dxa"/>
          </w:tcPr>
          <w:p w:rsidR="00247E15" w:rsidRDefault="00247E15">
            <w:pPr>
              <w:spacing w:line="276" w:lineRule="auto"/>
              <w:rPr>
                <w:b/>
              </w:rPr>
            </w:pPr>
          </w:p>
        </w:tc>
      </w:tr>
      <w:tr w:rsidR="00247E15">
        <w:tc>
          <w:tcPr>
            <w:tcW w:w="562" w:type="dxa"/>
          </w:tcPr>
          <w:p w:rsidR="00247E15" w:rsidRDefault="00E75BDE">
            <w:pPr>
              <w:spacing w:line="276" w:lineRule="auto"/>
              <w:rPr>
                <w:b/>
              </w:rPr>
            </w:pPr>
            <w:r>
              <w:rPr>
                <w:b/>
              </w:rPr>
              <w:t>4</w:t>
            </w:r>
          </w:p>
        </w:tc>
        <w:tc>
          <w:tcPr>
            <w:tcW w:w="4820" w:type="dxa"/>
          </w:tcPr>
          <w:p w:rsidR="00247E15" w:rsidRDefault="00E75BDE">
            <w:pPr>
              <w:spacing w:line="276" w:lineRule="auto"/>
            </w:pPr>
            <w:r>
              <w:t>Birimin web sayfasında danışma kurulu kararlarının yer almasının sağlanmasında yarar bulunmaktadır. Ayrıca, programların bazılarında danışma kurulu kararlarınnın güncellenmesi</w:t>
            </w:r>
          </w:p>
        </w:tc>
        <w:tc>
          <w:tcPr>
            <w:tcW w:w="4049" w:type="dxa"/>
          </w:tcPr>
          <w:p w:rsidR="00247E15" w:rsidRDefault="00247E15">
            <w:pPr>
              <w:spacing w:line="276" w:lineRule="auto"/>
              <w:rPr>
                <w:b/>
              </w:rPr>
            </w:pPr>
          </w:p>
        </w:tc>
      </w:tr>
      <w:tr w:rsidR="00247E15">
        <w:tc>
          <w:tcPr>
            <w:tcW w:w="562" w:type="dxa"/>
          </w:tcPr>
          <w:p w:rsidR="00247E15" w:rsidRDefault="00E75BDE">
            <w:pPr>
              <w:spacing w:line="276" w:lineRule="auto"/>
              <w:rPr>
                <w:b/>
              </w:rPr>
            </w:pPr>
            <w:r>
              <w:rPr>
                <w:b/>
              </w:rPr>
              <w:t>5</w:t>
            </w:r>
          </w:p>
        </w:tc>
        <w:tc>
          <w:tcPr>
            <w:tcW w:w="4820" w:type="dxa"/>
          </w:tcPr>
          <w:p w:rsidR="00247E15" w:rsidRDefault="00E75BDE">
            <w:pPr>
              <w:spacing w:line="276" w:lineRule="auto"/>
              <w:rPr>
                <w:b/>
              </w:rPr>
            </w:pPr>
            <w:r>
              <w:t>Birime ilişkin şikayet ve önerilerin dikkate alınıp, geri bildirimlerin yapı</w:t>
            </w:r>
            <w:r>
              <w:t>lması, iyileştirme faaliyetlerinin gerçekleştirilmesi, yöneticilerin çözüm odaklı olması ve memnuniyet anketlerinin yapılarak önerilerin alınması işlemlerine ilişkin bilgi ve belgelere yer verilmemesi.</w:t>
            </w:r>
          </w:p>
        </w:tc>
        <w:tc>
          <w:tcPr>
            <w:tcW w:w="4049" w:type="dxa"/>
          </w:tcPr>
          <w:p w:rsidR="00247E15" w:rsidRDefault="00247E15">
            <w:pPr>
              <w:spacing w:line="276" w:lineRule="auto"/>
              <w:rPr>
                <w:b/>
              </w:rPr>
            </w:pPr>
          </w:p>
        </w:tc>
      </w:tr>
      <w:tr w:rsidR="00247E15">
        <w:tc>
          <w:tcPr>
            <w:tcW w:w="562" w:type="dxa"/>
          </w:tcPr>
          <w:p w:rsidR="00247E15" w:rsidRDefault="00E75BDE">
            <w:pPr>
              <w:spacing w:line="276" w:lineRule="auto"/>
              <w:rPr>
                <w:b/>
              </w:rPr>
            </w:pPr>
            <w:r>
              <w:rPr>
                <w:b/>
              </w:rPr>
              <w:t>6</w:t>
            </w:r>
          </w:p>
        </w:tc>
        <w:tc>
          <w:tcPr>
            <w:tcW w:w="4820" w:type="dxa"/>
          </w:tcPr>
          <w:p w:rsidR="00247E15" w:rsidRDefault="00E75BDE">
            <w:pPr>
              <w:spacing w:before="120" w:line="276" w:lineRule="auto"/>
              <w:ind w:right="40"/>
              <w:rPr>
                <w:b/>
              </w:rPr>
            </w:pPr>
            <w:r>
              <w:t>Birimin tanım faaliyeti kapsamında bölgede bulunan</w:t>
            </w:r>
            <w:r>
              <w:t xml:space="preserve"> ortaöğretim kurumlarına ziyaretler gerçekleştirildiği, ancak koordinatörlüğün faaliyetlerine değerlendirilmemesi</w:t>
            </w:r>
          </w:p>
        </w:tc>
        <w:tc>
          <w:tcPr>
            <w:tcW w:w="4049" w:type="dxa"/>
          </w:tcPr>
          <w:p w:rsidR="00247E15" w:rsidRDefault="00247E15">
            <w:pPr>
              <w:spacing w:line="276" w:lineRule="auto"/>
              <w:rPr>
                <w:b/>
              </w:rPr>
            </w:pPr>
          </w:p>
        </w:tc>
      </w:tr>
      <w:tr w:rsidR="00247E15">
        <w:tc>
          <w:tcPr>
            <w:tcW w:w="562" w:type="dxa"/>
          </w:tcPr>
          <w:p w:rsidR="00247E15" w:rsidRDefault="00247E15">
            <w:pPr>
              <w:spacing w:line="276" w:lineRule="auto"/>
              <w:rPr>
                <w:b/>
              </w:rPr>
            </w:pPr>
          </w:p>
        </w:tc>
        <w:tc>
          <w:tcPr>
            <w:tcW w:w="4820" w:type="dxa"/>
          </w:tcPr>
          <w:p w:rsidR="00247E15" w:rsidRDefault="00247E15">
            <w:pPr>
              <w:spacing w:line="276" w:lineRule="auto"/>
              <w:rPr>
                <w:b/>
              </w:rPr>
            </w:pPr>
          </w:p>
        </w:tc>
        <w:tc>
          <w:tcPr>
            <w:tcW w:w="4049" w:type="dxa"/>
          </w:tcPr>
          <w:p w:rsidR="00247E15" w:rsidRDefault="00247E15">
            <w:pPr>
              <w:spacing w:line="276" w:lineRule="auto"/>
              <w:rPr>
                <w:b/>
              </w:rPr>
            </w:pPr>
          </w:p>
        </w:tc>
      </w:tr>
    </w:tbl>
    <w:p w:rsidR="00247E15" w:rsidRDefault="00247E15">
      <w:pPr>
        <w:rPr>
          <w:b/>
        </w:rPr>
      </w:pPr>
    </w:p>
    <w:p w:rsidR="00247E15" w:rsidRDefault="00E75BDE">
      <w:pPr>
        <w:rPr>
          <w:b/>
        </w:rPr>
      </w:pPr>
      <w:r>
        <w:rPr>
          <w:b/>
        </w:rPr>
        <w:t>SONUÇ ve DEĞERLENDİRME</w:t>
      </w:r>
    </w:p>
    <w:p w:rsidR="00247E15" w:rsidRDefault="00E75BDE">
      <w:bookmarkStart w:id="2" w:name="_heading=h.30j0zll" w:colFirst="0" w:colLast="0"/>
      <w:bookmarkEnd w:id="2"/>
      <w:r>
        <w:t>Toros Üniversitesi bünyesindeki akademik birimlerin Eğitim-Öğretim, Araştırma ve Geliştirme, Yönetim Sistemlerine ilişkin Kurumsal İç Değerlendirme süreci kapsamında, Sağlık Hizmetleri Meslek Yüksekokuluna 17/03/2022 tarihinde saha ziyareti gerçekleştirilm</w:t>
      </w:r>
      <w:r>
        <w:t xml:space="preserve">iştir. Saha ziyaretinde; Müdür/Müdür Yardımcıları, Kalite Komisyonu, Yüksekokul Kurulu, Akademik ve İdari personel ile öğrencilerle görüşülmüştür. Değerlendirme Takımının saha ziyaretinde edinilen izlenimleri doğrultusunda hazırlanmış olan çıkış bildirimi </w:t>
      </w:r>
      <w:r>
        <w:t xml:space="preserve">sözlü olarak paylaşılmıştır. Birim Geri Bildirim Raporu (BGBR), BİDR üzerinde yapılan değerlendirme ve saha ziyaretleri sırasında yapılan görüşmeler sonucunda elde edilen bulgular ışığında hazırlanmıştır. BGBR’unda ortaya çıkan iyileştirmeye açık yönlerin </w:t>
      </w:r>
      <w:r>
        <w:t>Sağlık Hizmetleri Meslek Yüksekokulunun gelişimine katkı sağlayacağını düşünmekteyiz. Bu bağlamda;</w:t>
      </w:r>
    </w:p>
    <w:p w:rsidR="00247E15" w:rsidRDefault="00E75BDE">
      <w:pPr>
        <w:numPr>
          <w:ilvl w:val="0"/>
          <w:numId w:val="1"/>
        </w:numPr>
        <w:spacing w:after="0"/>
      </w:pPr>
      <w:bookmarkStart w:id="3" w:name="_heading=h.z8xq1niadzi9" w:colFirst="0" w:colLast="0"/>
      <w:bookmarkEnd w:id="3"/>
      <w:r>
        <w:t>2022-2026 Dönemi Stratejik Planın izlenmesi ve BİDR kapsamında yapılan faaliyetler ve değerlendirmeler ile uyumlu bir şekilde yürütülmesinde yarar bulunmakta</w:t>
      </w:r>
      <w:r>
        <w:t>dır.</w:t>
      </w:r>
    </w:p>
    <w:p w:rsidR="00247E15" w:rsidRDefault="00E75BDE">
      <w:pPr>
        <w:numPr>
          <w:ilvl w:val="0"/>
          <w:numId w:val="1"/>
        </w:numPr>
        <w:spacing w:after="0"/>
      </w:pPr>
      <w:bookmarkStart w:id="4" w:name="_heading=h.lf78sqz36owu" w:colFirst="0" w:colLast="0"/>
      <w:bookmarkEnd w:id="4"/>
      <w:r>
        <w:t>KGS oluşturmak üzere Kalite Komisyonu ve alt komisyonların oluşturulması kalite kültürünün yaygınlaştırılmasına katkı sunmakla birlikte, Planlama-Uygulamalardan verilerin alınması iş işlemleri ile Değerlendirme-Önlem alma iş ve işlemlerin hangi oluşum</w:t>
      </w:r>
      <w:r>
        <w:t>lar tarafından yapılması gerektiği ile ilgili net tanımlamaların yapılmasının organizasyonel yapıyı güçlendireceği değerlendirilmektedir.</w:t>
      </w:r>
    </w:p>
    <w:p w:rsidR="00247E15" w:rsidRDefault="00E75BDE">
      <w:pPr>
        <w:numPr>
          <w:ilvl w:val="0"/>
          <w:numId w:val="1"/>
        </w:numPr>
        <w:spacing w:after="0"/>
      </w:pPr>
      <w:bookmarkStart w:id="5" w:name="_heading=h.sb03m6mkzh33" w:colFirst="0" w:colLast="0"/>
      <w:bookmarkEnd w:id="5"/>
      <w:r>
        <w:t>Eğitim-Öğretim kapsamında öğrenim çıktılarının izlenmesi, değerlendirilmesi ve önlemler alınması konusunda yüksekokulu</w:t>
      </w:r>
      <w:r>
        <w:t xml:space="preserve">n kendine özgün mekanizmaların geliştirilmesinde yarar bulunmaktadır. Zira, programlarda özellikle 3+1 modeli ile uygulama ağırlık müfredatların yürütüldüğü görülmektedir. Bu modelin program çıktılarına etkilerinin ölçülmesi, değerlendirilmesi ve önlemler </w:t>
      </w:r>
      <w:r>
        <w:t>alınmasına yönelik mekanizmaların kullanılmasında yarar bulunmaktadır.</w:t>
      </w:r>
    </w:p>
    <w:p w:rsidR="00247E15" w:rsidRDefault="00E75BDE">
      <w:pPr>
        <w:numPr>
          <w:ilvl w:val="0"/>
          <w:numId w:val="1"/>
        </w:numPr>
        <w:spacing w:after="0"/>
      </w:pPr>
      <w:bookmarkStart w:id="6" w:name="_heading=h.f0tdgwjz42s2" w:colFirst="0" w:colLast="0"/>
      <w:bookmarkEnd w:id="6"/>
      <w:r>
        <w:t>Eğitim-öğretim niteliğinin artırılmasında öğretim elemanlarının yetkinliği büyük bir önem arz etmektedir. Yüksekokul bünyesindeki tüm programlar mesleki eğitime dayalı bilgi ve becerili</w:t>
      </w:r>
      <w:r>
        <w:t xml:space="preserve"> mezunlar yetiştirilmesini misyon edinen yüksekokulun, öğretim elemanlarının mesleki beceri kazandırılmasına yönelik özgün eğitimler alınmasına yönelik planlamaların yapılması ve izlenmesinin uygun olacağı değerlendirilmektedir. Dolayısıyla, derslerin işle</w:t>
      </w:r>
      <w:r>
        <w:t>nişinde özgün öğretim tekniklerinin kullanılmasını sağlayacak ders materyali geliştirme büyük bir önem arz etmektedir.</w:t>
      </w:r>
    </w:p>
    <w:p w:rsidR="00247E15" w:rsidRDefault="00E75BDE">
      <w:pPr>
        <w:numPr>
          <w:ilvl w:val="0"/>
          <w:numId w:val="1"/>
        </w:numPr>
        <w:spacing w:after="0"/>
      </w:pPr>
      <w:bookmarkStart w:id="7" w:name="_heading=h.djry7iwepkew" w:colFirst="0" w:colLast="0"/>
      <w:bookmarkEnd w:id="7"/>
      <w:r>
        <w:t>Öğretim elemanlarının Ar-Ge konusunda çalışmalar yapmalarının yetkinliklerini artırılması açısında olumlu olmakla birlikte bu deneyimleri</w:t>
      </w:r>
      <w:r>
        <w:t xml:space="preserve">ni öğrencilere aktaracak, ilgi duyan öğrencilerin araştırma veya topluma katkı projelerinde yer almalarını sağlayacak faaliyetlerin yürütülmesinde yarar bulunmaktadır. </w:t>
      </w:r>
    </w:p>
    <w:p w:rsidR="00247E15" w:rsidRDefault="00E75BDE">
      <w:pPr>
        <w:numPr>
          <w:ilvl w:val="0"/>
          <w:numId w:val="1"/>
        </w:numPr>
      </w:pPr>
      <w:bookmarkStart w:id="8" w:name="_heading=h.vj99l3cohj5y" w:colFirst="0" w:colLast="0"/>
      <w:bookmarkEnd w:id="8"/>
      <w:r>
        <w:t>Öğrencilerin öğrenim gördükleri programda öğrenim kazanımların sağlanması yanında diğer</w:t>
      </w:r>
      <w:r>
        <w:t xml:space="preserve"> programlarda ÇAP yapmalarının sağlanmasına yönelik faaliyetlerin yapılmasında yarar bulunmaktadır. BİDR kapsamında bu konu değerlendirilmemekle birlikte 2020 yılında 9 ve 2021 yılında ise 8 öğrencinin programa kayıtlı olduğu görülmektedir. Saynın artırılm</w:t>
      </w:r>
      <w:r>
        <w:t xml:space="preserve">asına yönelik faaliyetlerde PUKÖ çevriminin kapatılmasına yönelik önlemlerin alınmasının önemli olduğu düşünülmektedir. </w:t>
      </w:r>
    </w:p>
    <w:p w:rsidR="00247E15" w:rsidRDefault="00247E15">
      <w:pPr>
        <w:rPr>
          <w:b/>
        </w:rPr>
      </w:pPr>
    </w:p>
    <w:p w:rsidR="00247E15" w:rsidRDefault="00247E15">
      <w:pPr>
        <w:rPr>
          <w:b/>
        </w:rPr>
      </w:pPr>
    </w:p>
    <w:sectPr w:rsidR="00247E15">
      <w:footerReference w:type="default" r:id="rId8"/>
      <w:headerReference w:type="first" r:id="rId9"/>
      <w:pgSz w:w="11906" w:h="16838"/>
      <w:pgMar w:top="1474" w:right="991" w:bottom="1474" w:left="1474" w:header="851" w:footer="85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BDE" w:rsidRDefault="00E75BDE">
      <w:pPr>
        <w:spacing w:after="0" w:line="240" w:lineRule="auto"/>
      </w:pPr>
      <w:r>
        <w:separator/>
      </w:r>
    </w:p>
  </w:endnote>
  <w:endnote w:type="continuationSeparator" w:id="0">
    <w:p w:rsidR="00E75BDE" w:rsidRDefault="00E75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15" w:rsidRDefault="00E75BDE">
    <w:pPr>
      <w:pBdr>
        <w:top w:val="nil"/>
        <w:left w:val="nil"/>
        <w:bottom w:val="nil"/>
        <w:right w:val="nil"/>
        <w:between w:val="nil"/>
      </w:pBdr>
      <w:tabs>
        <w:tab w:val="center" w:pos="4680"/>
        <w:tab w:val="right" w:pos="9360"/>
      </w:tabs>
      <w:spacing w:after="0" w:line="240" w:lineRule="auto"/>
      <w:jc w:val="right"/>
      <w:rPr>
        <w:rFonts w:ascii="Calibri" w:hAnsi="Calibri"/>
        <w:color w:val="000000"/>
      </w:rPr>
    </w:pPr>
    <w:r>
      <w:rPr>
        <w:rFonts w:ascii="Calibri" w:hAnsi="Calibri"/>
        <w:color w:val="000000"/>
      </w:rPr>
      <w:fldChar w:fldCharType="begin"/>
    </w:r>
    <w:r>
      <w:rPr>
        <w:rFonts w:ascii="Calibri" w:hAnsi="Calibri"/>
        <w:color w:val="000000"/>
      </w:rPr>
      <w:instrText>PAGE</w:instrText>
    </w:r>
    <w:r w:rsidR="00356D51">
      <w:rPr>
        <w:rFonts w:ascii="Calibri" w:hAnsi="Calibri"/>
        <w:color w:val="000000"/>
      </w:rPr>
      <w:fldChar w:fldCharType="separate"/>
    </w:r>
    <w:r w:rsidR="00356D51">
      <w:rPr>
        <w:rFonts w:ascii="Calibri" w:hAnsi="Calibri"/>
        <w:noProof/>
        <w:color w:val="000000"/>
      </w:rPr>
      <w:t>2</w:t>
    </w:r>
    <w:r>
      <w:rPr>
        <w:rFonts w:ascii="Calibri" w:hAnsi="Calibri"/>
        <w:color w:val="000000"/>
      </w:rPr>
      <w:fldChar w:fldCharType="end"/>
    </w:r>
  </w:p>
  <w:p w:rsidR="00247E15" w:rsidRDefault="00E75BDE">
    <w:pPr>
      <w:pBdr>
        <w:top w:val="nil"/>
        <w:left w:val="nil"/>
        <w:bottom w:val="nil"/>
        <w:right w:val="nil"/>
        <w:between w:val="nil"/>
      </w:pBdr>
      <w:tabs>
        <w:tab w:val="center" w:pos="4680"/>
        <w:tab w:val="right" w:pos="9360"/>
      </w:tabs>
      <w:spacing w:after="0" w:line="240" w:lineRule="auto"/>
      <w:ind w:hanging="1276"/>
      <w:rPr>
        <w:rFonts w:ascii="Calibri" w:hAnsi="Calibri"/>
        <w:color w:val="000000"/>
      </w:rPr>
    </w:pPr>
    <w:r>
      <w:rPr>
        <w:rFonts w:ascii="Calibri" w:hAnsi="Calibri"/>
        <w:i/>
        <w:color w:val="000000"/>
        <w:sz w:val="20"/>
        <w:szCs w:val="20"/>
      </w:rPr>
      <w:t xml:space="preserve">             Toros Üniversitesi Kalite Koordinatörlüğü / Birim Geri Bildirim Raporu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BDE" w:rsidRDefault="00E75BDE">
      <w:pPr>
        <w:spacing w:after="0" w:line="240" w:lineRule="auto"/>
      </w:pPr>
      <w:r>
        <w:separator/>
      </w:r>
    </w:p>
  </w:footnote>
  <w:footnote w:type="continuationSeparator" w:id="0">
    <w:p w:rsidR="00E75BDE" w:rsidRDefault="00E75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15" w:rsidRDefault="00E75BDE">
    <w:pPr>
      <w:pBdr>
        <w:top w:val="nil"/>
        <w:left w:val="nil"/>
        <w:bottom w:val="nil"/>
        <w:right w:val="nil"/>
        <w:between w:val="nil"/>
      </w:pBdr>
      <w:tabs>
        <w:tab w:val="center" w:pos="4680"/>
        <w:tab w:val="right" w:pos="9360"/>
      </w:tabs>
      <w:spacing w:after="0" w:line="240" w:lineRule="auto"/>
      <w:rPr>
        <w:rFonts w:ascii="Calibri" w:hAnsi="Calibri"/>
        <w:color w:val="000000"/>
      </w:rPr>
    </w:pPr>
    <w:r>
      <w:rPr>
        <w:rFonts w:ascii="Calibri" w:hAnsi="Calibri"/>
        <w:color w:val="000000"/>
      </w:rPr>
      <w:t xml:space="preserve">   </w:t>
    </w:r>
    <w:r>
      <w:rPr>
        <w:noProof/>
        <w:lang w:val="tr-TR"/>
      </w:rPr>
      <w:drawing>
        <wp:anchor distT="0" distB="0" distL="114300" distR="114300" simplePos="0" relativeHeight="251658240" behindDoc="0" locked="0" layoutInCell="1" hidden="0" allowOverlap="1">
          <wp:simplePos x="0" y="0"/>
          <wp:positionH relativeFrom="column">
            <wp:posOffset>5431155</wp:posOffset>
          </wp:positionH>
          <wp:positionV relativeFrom="paragraph">
            <wp:posOffset>56321</wp:posOffset>
          </wp:positionV>
          <wp:extent cx="563880" cy="59245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3880" cy="592455"/>
                  </a:xfrm>
                  <a:prstGeom prst="rect">
                    <a:avLst/>
                  </a:prstGeom>
                  <a:ln/>
                </pic:spPr>
              </pic:pic>
            </a:graphicData>
          </a:graphic>
        </wp:anchor>
      </w:drawing>
    </w:r>
  </w:p>
  <w:p w:rsidR="00247E15" w:rsidRDefault="00E75BDE">
    <w:pPr>
      <w:pBdr>
        <w:top w:val="nil"/>
        <w:left w:val="nil"/>
        <w:bottom w:val="nil"/>
        <w:right w:val="nil"/>
        <w:between w:val="nil"/>
      </w:pBdr>
      <w:tabs>
        <w:tab w:val="center" w:pos="4680"/>
        <w:tab w:val="right" w:pos="9360"/>
      </w:tabs>
      <w:spacing w:after="0" w:line="240" w:lineRule="auto"/>
      <w:rPr>
        <w:rFonts w:ascii="Calibri" w:hAnsi="Calibri"/>
        <w:color w:val="000000"/>
      </w:rPr>
    </w:pPr>
    <w:r>
      <w:rPr>
        <w:rFonts w:ascii="Calibri" w:hAnsi="Calibri"/>
        <w:color w:val="000000"/>
      </w:rPr>
      <w:t>TOROS ÜNİVERSİTESİ</w:t>
    </w:r>
  </w:p>
  <w:p w:rsidR="00247E15" w:rsidRDefault="00E75BDE" w:rsidP="00356D51">
    <w:r>
      <w:t>KALİTE</w:t>
    </w:r>
    <w:r w:rsidR="00356D51">
      <w:t xml:space="preserve"> K</w:t>
    </w:r>
    <w:r>
      <w:t>OORDİNATÖRLÜĞÜ</w:t>
    </w:r>
    <w:r>
      <w:tab/>
    </w:r>
    <w:r>
      <w:tab/>
    </w:r>
    <w:r>
      <w:tab/>
    </w:r>
    <w:r>
      <w:tab/>
    </w:r>
    <w:r>
      <w:tab/>
    </w:r>
    <w:r>
      <w:t xml:space="preserve">                                                                                         </w:t>
    </w:r>
    <w:r>
      <w:tab/>
      <w:t xml:space="preserve">       </w:t>
    </w:r>
  </w:p>
  <w:p w:rsidR="00247E15" w:rsidRDefault="00247E15">
    <w:pPr>
      <w:pBdr>
        <w:top w:val="nil"/>
        <w:left w:val="nil"/>
        <w:bottom w:val="nil"/>
        <w:right w:val="nil"/>
        <w:between w:val="nil"/>
      </w:pBdr>
      <w:tabs>
        <w:tab w:val="center" w:pos="4680"/>
        <w:tab w:val="right" w:pos="9360"/>
      </w:tabs>
      <w:spacing w:after="0" w:line="240" w:lineRule="auto"/>
      <w:rPr>
        <w:rFonts w:ascii="Calibri" w:hAnsi="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30FEF"/>
    <w:multiLevelType w:val="multilevel"/>
    <w:tmpl w:val="EAF8F2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2897D85"/>
    <w:multiLevelType w:val="multilevel"/>
    <w:tmpl w:val="552CF5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15"/>
    <w:rsid w:val="00247E15"/>
    <w:rsid w:val="00356D51"/>
    <w:rsid w:val="00E75B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F2BD"/>
  <w15:docId w15:val="{4B1F0DFC-659F-4CEF-9AE2-BCB595F4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tr-T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7F0"/>
    <w:rPr>
      <w:rFonts w:asciiTheme="minorHAnsi" w:hAnsiTheme="minorHAnsi"/>
    </w:rPr>
  </w:style>
  <w:style w:type="paragraph" w:styleId="Balk1">
    <w:name w:val="heading 1"/>
    <w:basedOn w:val="Normal"/>
    <w:next w:val="Normal"/>
    <w:link w:val="Balk1Char"/>
    <w:uiPriority w:val="9"/>
    <w:qFormat/>
    <w:rsid w:val="00B363A2"/>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link w:val="Balk3Char"/>
    <w:uiPriority w:val="9"/>
    <w:unhideWhenUsed/>
    <w:qFormat/>
    <w:rsid w:val="00B363A2"/>
    <w:pPr>
      <w:keepNext/>
      <w:keepLines/>
      <w:spacing w:before="200" w:after="0"/>
      <w:outlineLvl w:val="2"/>
    </w:pPr>
    <w:rPr>
      <w:rFonts w:asciiTheme="majorHAnsi" w:eastAsiaTheme="majorEastAsia" w:hAnsiTheme="majorHAnsi" w:cstheme="majorBidi"/>
      <w:b/>
      <w:bCs/>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customStyle="1" w:styleId="Balk3Char">
    <w:name w:val="Başlık 3 Char"/>
    <w:basedOn w:val="VarsaylanParagrafYazTipi"/>
    <w:link w:val="Balk3"/>
    <w:uiPriority w:val="9"/>
    <w:rsid w:val="00B363A2"/>
    <w:rPr>
      <w:rFonts w:asciiTheme="majorHAnsi" w:eastAsiaTheme="majorEastAsia" w:hAnsiTheme="majorHAnsi" w:cstheme="majorBidi"/>
      <w:b/>
      <w:bCs/>
      <w:lang w:val="tr-TR"/>
    </w:rPr>
  </w:style>
  <w:style w:type="paragraph" w:styleId="T2">
    <w:name w:val="toc 2"/>
    <w:basedOn w:val="Normal"/>
    <w:next w:val="Normal"/>
    <w:autoRedefine/>
    <w:uiPriority w:val="39"/>
    <w:unhideWhenUsed/>
    <w:qFormat/>
    <w:rsid w:val="00B363A2"/>
    <w:pPr>
      <w:tabs>
        <w:tab w:val="left" w:pos="660"/>
        <w:tab w:val="right" w:leader="dot" w:pos="9350"/>
      </w:tabs>
      <w:spacing w:after="100"/>
      <w:ind w:left="720" w:hanging="720"/>
    </w:pPr>
    <w:rPr>
      <w:rFonts w:eastAsia="Times New Roman" w:cs="Times New Roman"/>
      <w:b/>
      <w:noProof/>
      <w:sz w:val="32"/>
      <w:szCs w:val="32"/>
    </w:rPr>
  </w:style>
  <w:style w:type="paragraph" w:styleId="T3">
    <w:name w:val="toc 3"/>
    <w:basedOn w:val="Normal"/>
    <w:next w:val="Normal"/>
    <w:autoRedefine/>
    <w:uiPriority w:val="39"/>
    <w:unhideWhenUsed/>
    <w:qFormat/>
    <w:rsid w:val="00B363A2"/>
    <w:pPr>
      <w:tabs>
        <w:tab w:val="right" w:leader="dot" w:pos="9350"/>
      </w:tabs>
      <w:spacing w:after="100"/>
      <w:ind w:left="440"/>
    </w:pPr>
    <w:rPr>
      <w:rFonts w:cs="Times New Roman"/>
      <w:strike/>
      <w:noProof/>
      <w:color w:val="000000" w:themeColor="text1"/>
    </w:rPr>
  </w:style>
  <w:style w:type="character" w:styleId="Kpr">
    <w:name w:val="Hyperlink"/>
    <w:basedOn w:val="VarsaylanParagrafYazTipi"/>
    <w:uiPriority w:val="99"/>
    <w:unhideWhenUsed/>
    <w:rsid w:val="00B363A2"/>
    <w:rPr>
      <w:color w:val="9454C3" w:themeColor="hyperlink"/>
      <w:u w:val="single"/>
    </w:rPr>
  </w:style>
  <w:style w:type="paragraph" w:styleId="stBilgi">
    <w:name w:val="header"/>
    <w:basedOn w:val="Normal"/>
    <w:link w:val="stBilgiChar"/>
    <w:uiPriority w:val="99"/>
    <w:unhideWhenUsed/>
    <w:rsid w:val="00B363A2"/>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B363A2"/>
    <w:rPr>
      <w:lang w:val="tr-TR"/>
    </w:rPr>
  </w:style>
  <w:style w:type="paragraph" w:styleId="AltBilgi">
    <w:name w:val="footer"/>
    <w:basedOn w:val="Normal"/>
    <w:link w:val="AltBilgiChar"/>
    <w:uiPriority w:val="99"/>
    <w:unhideWhenUsed/>
    <w:rsid w:val="00B363A2"/>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B363A2"/>
    <w:rPr>
      <w:lang w:val="tr-TR"/>
    </w:rPr>
  </w:style>
  <w:style w:type="paragraph" w:styleId="AklamaMetni">
    <w:name w:val="annotation text"/>
    <w:basedOn w:val="Normal"/>
    <w:link w:val="AklamaMetniChar"/>
    <w:uiPriority w:val="99"/>
    <w:unhideWhenUsed/>
    <w:rsid w:val="00B363A2"/>
    <w:pPr>
      <w:spacing w:line="240" w:lineRule="auto"/>
    </w:pPr>
    <w:rPr>
      <w:sz w:val="20"/>
      <w:szCs w:val="20"/>
    </w:rPr>
  </w:style>
  <w:style w:type="character" w:customStyle="1" w:styleId="AklamaMetniChar">
    <w:name w:val="Açıklama Metni Char"/>
    <w:basedOn w:val="VarsaylanParagrafYazTipi"/>
    <w:link w:val="AklamaMetni"/>
    <w:uiPriority w:val="99"/>
    <w:rsid w:val="00B363A2"/>
    <w:rPr>
      <w:sz w:val="20"/>
      <w:szCs w:val="20"/>
      <w:lang w:val="tr-TR"/>
    </w:rPr>
  </w:style>
  <w:style w:type="paragraph" w:customStyle="1" w:styleId="Default">
    <w:name w:val="Default"/>
    <w:rsid w:val="00B363A2"/>
    <w:pPr>
      <w:autoSpaceDE w:val="0"/>
      <w:autoSpaceDN w:val="0"/>
      <w:adjustRightInd w:val="0"/>
      <w:spacing w:after="0" w:line="240" w:lineRule="auto"/>
    </w:pPr>
    <w:rPr>
      <w:color w:val="000000"/>
      <w:lang w:val="tr-TR"/>
    </w:rPr>
  </w:style>
  <w:style w:type="paragraph" w:styleId="ListeParagraf">
    <w:name w:val="List Paragraph"/>
    <w:basedOn w:val="Normal"/>
    <w:uiPriority w:val="34"/>
    <w:qFormat/>
    <w:rsid w:val="00B363A2"/>
    <w:pPr>
      <w:ind w:left="720"/>
      <w:contextualSpacing/>
    </w:pPr>
  </w:style>
  <w:style w:type="character" w:customStyle="1" w:styleId="Balk1Char">
    <w:name w:val="Başlık 1 Char"/>
    <w:basedOn w:val="VarsaylanParagrafYazTipi"/>
    <w:link w:val="Balk1"/>
    <w:uiPriority w:val="9"/>
    <w:rsid w:val="00B363A2"/>
    <w:rPr>
      <w:rFonts w:asciiTheme="majorHAnsi" w:eastAsiaTheme="majorEastAsia" w:hAnsiTheme="majorHAnsi" w:cstheme="majorBidi"/>
      <w:b/>
      <w:bCs/>
      <w:color w:val="374C80" w:themeColor="accent1" w:themeShade="BF"/>
      <w:sz w:val="28"/>
      <w:szCs w:val="28"/>
      <w:lang w:val="tr-TR"/>
    </w:rPr>
  </w:style>
  <w:style w:type="paragraph" w:styleId="TBal">
    <w:name w:val="TOC Heading"/>
    <w:basedOn w:val="Balk1"/>
    <w:next w:val="Normal"/>
    <w:uiPriority w:val="39"/>
    <w:unhideWhenUsed/>
    <w:qFormat/>
    <w:rsid w:val="00B363A2"/>
    <w:pPr>
      <w:spacing w:before="240" w:line="259" w:lineRule="auto"/>
      <w:outlineLvl w:val="9"/>
    </w:pPr>
    <w:rPr>
      <w:b w:val="0"/>
      <w:bCs w:val="0"/>
      <w:sz w:val="32"/>
      <w:szCs w:val="32"/>
    </w:rPr>
  </w:style>
  <w:style w:type="paragraph" w:styleId="NormalWeb">
    <w:name w:val="Normal (Web)"/>
    <w:basedOn w:val="Normal"/>
    <w:uiPriority w:val="99"/>
    <w:unhideWhenUsed/>
    <w:rsid w:val="00B363A2"/>
    <w:pPr>
      <w:spacing w:after="0" w:line="240" w:lineRule="auto"/>
    </w:pPr>
    <w:rPr>
      <w:rFonts w:cs="Times New Roman"/>
    </w:rPr>
  </w:style>
  <w:style w:type="paragraph" w:styleId="BalonMetni">
    <w:name w:val="Balloon Text"/>
    <w:basedOn w:val="Normal"/>
    <w:link w:val="BalonMetniChar"/>
    <w:uiPriority w:val="99"/>
    <w:semiHidden/>
    <w:unhideWhenUsed/>
    <w:rsid w:val="00B363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63A2"/>
    <w:rPr>
      <w:rFonts w:ascii="Tahoma" w:hAnsi="Tahoma" w:cs="Tahoma"/>
      <w:sz w:val="16"/>
      <w:szCs w:val="16"/>
      <w:lang w:val="tr-TR"/>
    </w:rPr>
  </w:style>
  <w:style w:type="table" w:styleId="TabloKlavuzu">
    <w:name w:val="Table Grid"/>
    <w:basedOn w:val="NormalTablo"/>
    <w:uiPriority w:val="59"/>
    <w:rsid w:val="00191DFE"/>
    <w:pPr>
      <w:spacing w:after="0" w:line="240" w:lineRule="auto"/>
    </w:pPr>
    <w:rPr>
      <w:rFonts w:asciiTheme="minorHAnsi" w:hAnsiTheme="minorHAns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2-Vurgu1">
    <w:name w:val="Medium Shading 2 Accent 1"/>
    <w:basedOn w:val="NormalTablo"/>
    <w:uiPriority w:val="64"/>
    <w:rsid w:val="00B81E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nkliListe-Vurgu4">
    <w:name w:val="Colorful List Accent 4"/>
    <w:basedOn w:val="NormalTablo"/>
    <w:uiPriority w:val="72"/>
    <w:rsid w:val="00B81EC8"/>
    <w:pPr>
      <w:spacing w:after="0" w:line="240" w:lineRule="auto"/>
    </w:pPr>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OrtaGlgeleme2">
    <w:name w:val="Medium Shading 2"/>
    <w:basedOn w:val="NormalTablo"/>
    <w:uiPriority w:val="64"/>
    <w:rsid w:val="00B81E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B81E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B81E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1-Vurgu5">
    <w:name w:val="Medium Shading 1 Accent 5"/>
    <w:basedOn w:val="NormalTablo"/>
    <w:uiPriority w:val="63"/>
    <w:rsid w:val="00B81EC8"/>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AkListe-Vurgu1">
    <w:name w:val="Light List Accent 1"/>
    <w:basedOn w:val="NormalTablo"/>
    <w:uiPriority w:val="61"/>
    <w:rsid w:val="00B81EC8"/>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paragraph" w:styleId="GvdeMetni">
    <w:name w:val="Body Text"/>
    <w:basedOn w:val="Normal"/>
    <w:link w:val="GvdeMetniChar"/>
    <w:uiPriority w:val="1"/>
    <w:qFormat/>
    <w:rsid w:val="00407C3D"/>
    <w:pPr>
      <w:widowControl w:val="0"/>
      <w:spacing w:after="0" w:line="240" w:lineRule="auto"/>
      <w:ind w:left="118"/>
    </w:pPr>
    <w:rPr>
      <w:rFonts w:eastAsia="Times New Roman"/>
    </w:rPr>
  </w:style>
  <w:style w:type="character" w:customStyle="1" w:styleId="GvdeMetniChar">
    <w:name w:val="Gövde Metni Char"/>
    <w:basedOn w:val="VarsaylanParagrafYazTipi"/>
    <w:link w:val="GvdeMetni"/>
    <w:uiPriority w:val="1"/>
    <w:rsid w:val="00407C3D"/>
    <w:rPr>
      <w:rFonts w:eastAsia="Times New Roman"/>
      <w:szCs w:val="24"/>
      <w:lang w:val="tr-TR"/>
    </w:rPr>
  </w:style>
  <w:style w:type="character" w:styleId="AklamaBavurusu">
    <w:name w:val="annotation reference"/>
    <w:basedOn w:val="VarsaylanParagrafYazTipi"/>
    <w:uiPriority w:val="99"/>
    <w:semiHidden/>
    <w:unhideWhenUsed/>
    <w:rsid w:val="00867B4F"/>
    <w:rPr>
      <w:sz w:val="16"/>
      <w:szCs w:val="16"/>
    </w:rPr>
  </w:style>
  <w:style w:type="paragraph" w:styleId="AklamaKonusu">
    <w:name w:val="annotation subject"/>
    <w:basedOn w:val="AklamaMetni"/>
    <w:next w:val="AklamaMetni"/>
    <w:link w:val="AklamaKonusuChar"/>
    <w:uiPriority w:val="99"/>
    <w:semiHidden/>
    <w:unhideWhenUsed/>
    <w:rsid w:val="00867B4F"/>
    <w:rPr>
      <w:b/>
      <w:bCs/>
    </w:rPr>
  </w:style>
  <w:style w:type="character" w:customStyle="1" w:styleId="AklamaKonusuChar">
    <w:name w:val="Açıklama Konusu Char"/>
    <w:basedOn w:val="AklamaMetniChar"/>
    <w:link w:val="AklamaKonusu"/>
    <w:uiPriority w:val="99"/>
    <w:semiHidden/>
    <w:rsid w:val="00867B4F"/>
    <w:rPr>
      <w:b/>
      <w:bCs/>
      <w:sz w:val="20"/>
      <w:szCs w:val="20"/>
      <w:lang w:val="tr-TR"/>
    </w:rPr>
  </w:style>
  <w:style w:type="paragraph" w:styleId="Dzeltme">
    <w:name w:val="Revision"/>
    <w:hidden/>
    <w:uiPriority w:val="99"/>
    <w:semiHidden/>
    <w:rsid w:val="00E15E1F"/>
    <w:pPr>
      <w:spacing w:after="0" w:line="240" w:lineRule="auto"/>
    </w:pPr>
    <w:rPr>
      <w:lang w:val="tr-TR"/>
    </w:rPr>
  </w:style>
  <w:style w:type="paragraph" w:styleId="AralkYok">
    <w:name w:val="No Spacing"/>
    <w:uiPriority w:val="1"/>
    <w:qFormat/>
    <w:rsid w:val="00191DFE"/>
    <w:pPr>
      <w:spacing w:after="0" w:line="240" w:lineRule="auto"/>
    </w:pPr>
    <w:rPr>
      <w:lang w:val="tr-TR"/>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F2F4F6"/>
    </w:tcPr>
  </w:style>
  <w:style w:type="table" w:customStyle="1" w:styleId="a0">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F2F4F6"/>
    </w:tcPr>
  </w:style>
  <w:style w:type="table" w:customStyle="1" w:styleId="a1">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F2F4F6"/>
    </w:tcPr>
  </w:style>
  <w:style w:type="table" w:customStyle="1" w:styleId="a2">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F2F4F6"/>
    </w:tcPr>
  </w:style>
  <w:style w:type="table" w:customStyle="1" w:styleId="a3">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F2F4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gerlendirme-Sureci-ve-Rapor-Yazimi_ABO">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MWOegXN4jo/1DTI2f6TNBa0mqw==">AMUW2mUKdc1VlruE2N2lOb61XGP9FvO0R1MA74bleczjtuJ3617c14kQGFNmFBqjSRACrygCm+gmjRyHgPvtWPTyvJOtJxx/51XP7/G7kNZaDsqfSCrVnZlq1B49nhvsajoYO9zoh/sZh+bPASUlptsYF7aVXgIru/1Pwg+yuogtn8HM8x50WWLl8BLPaB+1zTRsa2yPTvuHAPn0UQwrS3YJd6yIUTKAh6qzVCi7rFd4NoVWDTN2hvzzhMlAMYDS+06J+5pDLoMZ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3824</Words>
  <Characters>21802</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yüksel</cp:lastModifiedBy>
  <cp:revision>2</cp:revision>
  <dcterms:created xsi:type="dcterms:W3CDTF">2022-03-12T09:23:00Z</dcterms:created>
  <dcterms:modified xsi:type="dcterms:W3CDTF">2022-03-12T09:23:00Z</dcterms:modified>
</cp:coreProperties>
</file>